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rPr>
        <w:id w:val="359943498"/>
        <w:placeholder>
          <w:docPart w:val="9567CB480AE448C08FC179CDB66E601A"/>
        </w:placeholder>
        <w15:color w:val="666699"/>
      </w:sdtPr>
      <w:sdtEndPr>
        <w:rPr>
          <w:i/>
          <w:iCs/>
        </w:rPr>
      </w:sdtEndPr>
      <w:sdtContent>
        <w:p w14:paraId="2DF02E2E" w14:textId="77777777" w:rsidR="00666461" w:rsidRPr="00666461" w:rsidRDefault="00666461" w:rsidP="00666461">
          <w:pPr>
            <w:rPr>
              <w:rStyle w:val="Heading1Char"/>
            </w:rPr>
          </w:pPr>
          <w:r w:rsidRPr="00666461">
            <w:rPr>
              <w:rStyle w:val="Heading1Char"/>
            </w:rPr>
            <w:t>Information about the suggested format of submissions to the review of the Institute for Teaching and Learning Innovation</w:t>
          </w:r>
        </w:p>
        <w:p w14:paraId="72285DB2" w14:textId="4E1E2B1D" w:rsidR="00666461" w:rsidRDefault="00666461" w:rsidP="00666461">
          <w:pPr>
            <w:pStyle w:val="Heading2"/>
          </w:pPr>
          <w:r>
            <w:t>Formatting</w:t>
          </w:r>
        </w:p>
        <w:p w14:paraId="119F5E58" w14:textId="77777777" w:rsidR="00666461" w:rsidRDefault="00666461" w:rsidP="00666461">
          <w:pPr>
            <w:rPr>
              <w:rFonts w:cs="Arial"/>
              <w:szCs w:val="20"/>
            </w:rPr>
          </w:pPr>
          <w:r>
            <w:rPr>
              <w:rFonts w:cs="Arial"/>
              <w:szCs w:val="20"/>
            </w:rPr>
            <w:t xml:space="preserve">Either in an email directly to </w:t>
          </w:r>
          <w:hyperlink r:id="rId8" w:history="1">
            <w:r w:rsidRPr="00252D31">
              <w:rPr>
                <w:rStyle w:val="Hyperlink"/>
                <w:rFonts w:cs="Arial"/>
                <w:szCs w:val="20"/>
              </w:rPr>
              <w:t>dvca.academicprojects@uq.edu.au</w:t>
            </w:r>
          </w:hyperlink>
          <w:r>
            <w:rPr>
              <w:rFonts w:cs="Arial"/>
              <w:szCs w:val="20"/>
            </w:rPr>
            <w:t>, or as a Word document/PDF attachment to an email.</w:t>
          </w:r>
        </w:p>
        <w:p w14:paraId="29F30001" w14:textId="530DD0ED" w:rsidR="00666461" w:rsidRDefault="00666461" w:rsidP="00666461">
          <w:pPr>
            <w:pStyle w:val="Heading2"/>
          </w:pPr>
          <w:r>
            <w:t>Length</w:t>
          </w:r>
        </w:p>
        <w:p w14:paraId="6A53FC61" w14:textId="77777777" w:rsidR="00666461" w:rsidRDefault="00666461" w:rsidP="00666461">
          <w:pPr>
            <w:rPr>
              <w:rFonts w:cs="Arial"/>
              <w:szCs w:val="20"/>
            </w:rPr>
          </w:pPr>
          <w:r>
            <w:rPr>
              <w:rFonts w:cs="Arial"/>
              <w:szCs w:val="20"/>
            </w:rPr>
            <w:t>There is no set length for a submission. The length can depend on the extent of a stakeholder’s interactions with the Institute – a submission might be 2-3 paragraphs in an email, or multiple pages in a Word document if there is a longer history or the stakeholder wants to address multiple terms of reference individually.</w:t>
          </w:r>
        </w:p>
        <w:p w14:paraId="33060329" w14:textId="4409121D" w:rsidR="00666461" w:rsidRDefault="00666461" w:rsidP="00666461">
          <w:pPr>
            <w:pStyle w:val="Heading2"/>
          </w:pPr>
          <w:r>
            <w:t>Content</w:t>
          </w:r>
        </w:p>
        <w:p w14:paraId="08B40148" w14:textId="77777777" w:rsidR="00666461" w:rsidRDefault="00666461" w:rsidP="00666461">
          <w:pPr>
            <w:rPr>
              <w:rFonts w:cs="Arial"/>
              <w:szCs w:val="20"/>
            </w:rPr>
          </w:pPr>
          <w:r>
            <w:rPr>
              <w:rFonts w:cs="Arial"/>
              <w:szCs w:val="20"/>
            </w:rPr>
            <w:t xml:space="preserve">Please provide any relevant information the review committee can use in reviewing the Institute. </w:t>
          </w:r>
        </w:p>
        <w:p w14:paraId="7CA1E245" w14:textId="13179FDE" w:rsidR="00666461" w:rsidRDefault="00666461" w:rsidP="00666461">
          <w:pPr>
            <w:rPr>
              <w:rFonts w:cs="Arial"/>
              <w:szCs w:val="20"/>
            </w:rPr>
          </w:pPr>
          <w:r>
            <w:rPr>
              <w:rFonts w:cs="Arial"/>
              <w:szCs w:val="20"/>
            </w:rPr>
            <w:t>Where appropriate, a submission can begin with a brief overview of the stakeholder’s experience and interactions with the Institute. The rest of the submission can take any form, but stakeholders often prepare a submission that would either:</w:t>
          </w:r>
        </w:p>
        <w:p w14:paraId="69727D54" w14:textId="77777777" w:rsidR="00666461" w:rsidRDefault="00666461" w:rsidP="00666461">
          <w:pPr>
            <w:pStyle w:val="ListParagraph0"/>
            <w:numPr>
              <w:ilvl w:val="0"/>
              <w:numId w:val="16"/>
            </w:numPr>
            <w:spacing w:before="0" w:after="160" w:line="259" w:lineRule="auto"/>
            <w:ind w:left="714" w:hanging="357"/>
            <w:rPr>
              <w:rFonts w:cs="Arial"/>
              <w:szCs w:val="20"/>
            </w:rPr>
          </w:pPr>
          <w:r w:rsidRPr="00CD1BA8">
            <w:rPr>
              <w:rFonts w:cs="Arial"/>
              <w:szCs w:val="20"/>
              <w:u w:val="single"/>
            </w:rPr>
            <w:t>Respond to terms of reference</w:t>
          </w:r>
          <w:r w:rsidRPr="00F42D2E">
            <w:rPr>
              <w:rFonts w:cs="Arial"/>
              <w:szCs w:val="20"/>
            </w:rPr>
            <w:t xml:space="preserve">: </w:t>
          </w:r>
          <w:r>
            <w:rPr>
              <w:rFonts w:cs="Arial"/>
              <w:szCs w:val="20"/>
            </w:rPr>
            <w:t>the submission can include</w:t>
          </w:r>
          <w:r w:rsidRPr="00F42D2E">
            <w:rPr>
              <w:rFonts w:cs="Arial"/>
              <w:szCs w:val="20"/>
            </w:rPr>
            <w:t xml:space="preserve"> a response to each/any of the terms of reference the</w:t>
          </w:r>
          <w:r>
            <w:rPr>
              <w:rFonts w:cs="Arial"/>
              <w:szCs w:val="20"/>
            </w:rPr>
            <w:t xml:space="preserve"> submitter</w:t>
          </w:r>
          <w:r w:rsidRPr="00F42D2E">
            <w:rPr>
              <w:rFonts w:cs="Arial"/>
              <w:szCs w:val="20"/>
            </w:rPr>
            <w:t xml:space="preserve"> can speak to, with the term of reference as a heading. The responses can include more detail of the </w:t>
          </w:r>
          <w:r>
            <w:rPr>
              <w:rFonts w:cs="Arial"/>
              <w:szCs w:val="20"/>
            </w:rPr>
            <w:t>submitter’s experiences or</w:t>
          </w:r>
          <w:r w:rsidRPr="00F42D2E">
            <w:rPr>
              <w:rFonts w:cs="Arial"/>
              <w:szCs w:val="20"/>
            </w:rPr>
            <w:t xml:space="preserve"> relationship with the </w:t>
          </w:r>
          <w:r>
            <w:rPr>
              <w:rFonts w:cs="Arial"/>
              <w:szCs w:val="20"/>
            </w:rPr>
            <w:t xml:space="preserve">Institute and staff, </w:t>
          </w:r>
          <w:r w:rsidRPr="00F42D2E">
            <w:rPr>
              <w:rFonts w:cs="Arial"/>
              <w:szCs w:val="20"/>
            </w:rPr>
            <w:t>any areas of commendation</w:t>
          </w:r>
          <w:r>
            <w:rPr>
              <w:rFonts w:cs="Arial"/>
              <w:szCs w:val="20"/>
            </w:rPr>
            <w:t xml:space="preserve"> or </w:t>
          </w:r>
          <w:r w:rsidRPr="00F42D2E">
            <w:rPr>
              <w:rFonts w:cs="Arial"/>
              <w:szCs w:val="20"/>
            </w:rPr>
            <w:t xml:space="preserve">recommendation, </w:t>
          </w:r>
          <w:r>
            <w:rPr>
              <w:rFonts w:cs="Arial"/>
              <w:szCs w:val="20"/>
            </w:rPr>
            <w:t xml:space="preserve">past collaborations/projects, </w:t>
          </w:r>
          <w:proofErr w:type="gramStart"/>
          <w:r>
            <w:rPr>
              <w:rFonts w:cs="Arial"/>
              <w:szCs w:val="20"/>
            </w:rPr>
            <w:t>future plans</w:t>
          </w:r>
          <w:proofErr w:type="gramEnd"/>
          <w:r>
            <w:rPr>
              <w:rFonts w:cs="Arial"/>
              <w:szCs w:val="20"/>
            </w:rPr>
            <w:t xml:space="preserve">, </w:t>
          </w:r>
          <w:r w:rsidRPr="00F42D2E">
            <w:rPr>
              <w:rFonts w:cs="Arial"/>
              <w:szCs w:val="20"/>
            </w:rPr>
            <w:t>etc.</w:t>
          </w:r>
        </w:p>
        <w:p w14:paraId="683F00EA" w14:textId="77777777" w:rsidR="00666461" w:rsidRPr="00F42D2E" w:rsidRDefault="00666461" w:rsidP="00666461">
          <w:pPr>
            <w:pStyle w:val="ListParagraph0"/>
            <w:numPr>
              <w:ilvl w:val="0"/>
              <w:numId w:val="16"/>
            </w:numPr>
            <w:spacing w:before="0" w:after="160" w:line="259" w:lineRule="auto"/>
            <w:contextualSpacing/>
            <w:rPr>
              <w:rFonts w:cs="Arial"/>
              <w:szCs w:val="20"/>
            </w:rPr>
          </w:pPr>
          <w:r w:rsidRPr="00CD1BA8">
            <w:rPr>
              <w:rFonts w:cs="Arial"/>
              <w:szCs w:val="20"/>
              <w:u w:val="single"/>
            </w:rPr>
            <w:t xml:space="preserve">Provide broader/general comments on the </w:t>
          </w:r>
          <w:r>
            <w:rPr>
              <w:rFonts w:cs="Arial"/>
              <w:szCs w:val="20"/>
              <w:u w:val="single"/>
            </w:rPr>
            <w:t>Institute</w:t>
          </w:r>
          <w:r>
            <w:rPr>
              <w:rFonts w:cs="Arial"/>
              <w:szCs w:val="20"/>
            </w:rPr>
            <w:t xml:space="preserve">: the submission can include details </w:t>
          </w:r>
          <w:r w:rsidRPr="00F42D2E">
            <w:rPr>
              <w:rFonts w:cs="Arial"/>
              <w:szCs w:val="20"/>
            </w:rPr>
            <w:t xml:space="preserve">about the </w:t>
          </w:r>
          <w:r>
            <w:rPr>
              <w:rFonts w:cs="Arial"/>
              <w:szCs w:val="20"/>
            </w:rPr>
            <w:t xml:space="preserve">submitter’s experiences or relationship with the Institute </w:t>
          </w:r>
          <w:r w:rsidRPr="00F42D2E">
            <w:rPr>
              <w:rFonts w:cs="Arial"/>
              <w:szCs w:val="20"/>
            </w:rPr>
            <w:t>(</w:t>
          </w:r>
          <w:proofErr w:type="gramStart"/>
          <w:r w:rsidRPr="00F42D2E">
            <w:rPr>
              <w:rFonts w:cs="Arial"/>
              <w:szCs w:val="20"/>
            </w:rPr>
            <w:t>e.g.</w:t>
          </w:r>
          <w:proofErr w:type="gramEnd"/>
          <w:r w:rsidRPr="00F42D2E">
            <w:rPr>
              <w:rFonts w:cs="Arial"/>
              <w:szCs w:val="20"/>
            </w:rPr>
            <w:t xml:space="preserve"> </w:t>
          </w:r>
          <w:r>
            <w:rPr>
              <w:rFonts w:cs="Arial"/>
              <w:szCs w:val="20"/>
            </w:rPr>
            <w:t xml:space="preserve">interactions, collaborations, </w:t>
          </w:r>
          <w:r w:rsidRPr="00F42D2E">
            <w:rPr>
              <w:rFonts w:cs="Arial"/>
              <w:szCs w:val="20"/>
            </w:rPr>
            <w:t>specific projects</w:t>
          </w:r>
          <w:r>
            <w:rPr>
              <w:rFonts w:cs="Arial"/>
              <w:szCs w:val="20"/>
            </w:rPr>
            <w:t>, experiences, etc.</w:t>
          </w:r>
          <w:r w:rsidRPr="00F42D2E">
            <w:rPr>
              <w:rFonts w:cs="Arial"/>
              <w:szCs w:val="20"/>
            </w:rPr>
            <w:t xml:space="preserve">) </w:t>
          </w:r>
          <w:r>
            <w:rPr>
              <w:rFonts w:cs="Arial"/>
              <w:szCs w:val="20"/>
            </w:rPr>
            <w:t xml:space="preserve">and suggestions for the review committee </w:t>
          </w:r>
          <w:r w:rsidRPr="00F42D2E">
            <w:rPr>
              <w:rFonts w:cs="Arial"/>
              <w:szCs w:val="20"/>
            </w:rPr>
            <w:t xml:space="preserve">without individually highlighting the terms of reference. </w:t>
          </w:r>
        </w:p>
        <w:p w14:paraId="54130572" w14:textId="77777777" w:rsidR="00666461" w:rsidRDefault="00666461" w:rsidP="00666461">
          <w:pPr>
            <w:rPr>
              <w:rFonts w:cs="Arial"/>
              <w:szCs w:val="20"/>
            </w:rPr>
          </w:pPr>
          <w:r>
            <w:rPr>
              <w:rFonts w:cs="Arial"/>
              <w:szCs w:val="20"/>
            </w:rPr>
            <w:t>Stakeholders are welcome to include recommendations for the review committee to consider.</w:t>
          </w:r>
        </w:p>
        <w:p w14:paraId="78C4CA97" w14:textId="77777777" w:rsidR="00666461" w:rsidRPr="00F42D2E" w:rsidRDefault="00666461" w:rsidP="00666461">
          <w:pPr>
            <w:rPr>
              <w:i/>
              <w:iCs/>
              <w:sz w:val="22"/>
            </w:rPr>
          </w:pPr>
          <w:r w:rsidRPr="00F42D2E">
            <w:rPr>
              <w:rFonts w:cs="Arial"/>
              <w:i/>
              <w:iCs/>
              <w:szCs w:val="20"/>
            </w:rPr>
            <w:t>Please delete this box by clicking the three dots above and hitting Backspace.</w:t>
          </w:r>
        </w:p>
      </w:sdtContent>
    </w:sdt>
    <w:p w14:paraId="309CFD70" w14:textId="77777777" w:rsidR="00666461" w:rsidRPr="00996F13" w:rsidRDefault="00666461" w:rsidP="00666461">
      <w:pPr>
        <w:pStyle w:val="Heading1"/>
      </w:pPr>
      <w:r w:rsidRPr="00996F13">
        <w:t>Submission to the 20</w:t>
      </w:r>
      <w:r>
        <w:t>21</w:t>
      </w:r>
      <w:r w:rsidRPr="00996F13">
        <w:t xml:space="preserve"> Review of </w:t>
      </w:r>
      <w:r>
        <w:t xml:space="preserve">the </w:t>
      </w:r>
      <w:bookmarkStart w:id="0" w:name="_Hlk84415254"/>
      <w:r>
        <w:t>Institute for Teaching and Learning Innovation</w:t>
      </w:r>
      <w:bookmarkEnd w:id="0"/>
    </w:p>
    <w:p w14:paraId="11B391D3" w14:textId="77777777" w:rsidR="00666461" w:rsidRDefault="00666461" w:rsidP="00666461">
      <w:r>
        <w:rPr>
          <w:i/>
        </w:rPr>
        <w:t>[Name]</w:t>
      </w:r>
    </w:p>
    <w:p w14:paraId="30EE00DA" w14:textId="77777777" w:rsidR="00666461" w:rsidRPr="00123AB9" w:rsidRDefault="00666461" w:rsidP="00666461">
      <w:pPr>
        <w:rPr>
          <w:i/>
          <w:iCs/>
        </w:rPr>
      </w:pPr>
      <w:r w:rsidRPr="00123AB9">
        <w:rPr>
          <w:i/>
          <w:iCs/>
        </w:rPr>
        <w:t>[Brief outline of extent/history of experiences/relationship with the Institute for Teaching and Learning Innovation]</w:t>
      </w:r>
    </w:p>
    <w:p w14:paraId="35A383B0" w14:textId="77777777" w:rsidR="00666461" w:rsidRDefault="00666461" w:rsidP="00666461"/>
    <w:p w14:paraId="5CFFBE45" w14:textId="77777777" w:rsidR="00666461" w:rsidRPr="0057147D" w:rsidRDefault="00666461" w:rsidP="00666461">
      <w:pPr>
        <w:pStyle w:val="Heading2"/>
      </w:pPr>
      <w:r>
        <w:t>Response to terms of reference</w:t>
      </w:r>
    </w:p>
    <w:p w14:paraId="5A3333E8" w14:textId="77777777" w:rsidR="00666461" w:rsidRDefault="00666461" w:rsidP="00666461">
      <w:r w:rsidRPr="00DC7974">
        <w:rPr>
          <w:highlight w:val="yellow"/>
        </w:rPr>
        <w:t xml:space="preserve">[Remove </w:t>
      </w:r>
      <w:r>
        <w:rPr>
          <w:highlight w:val="yellow"/>
        </w:rPr>
        <w:t xml:space="preserve">any of the </w:t>
      </w:r>
      <w:r w:rsidRPr="00DC7974">
        <w:rPr>
          <w:highlight w:val="yellow"/>
        </w:rPr>
        <w:t>terms of reference below if not relevant]</w:t>
      </w:r>
    </w:p>
    <w:p w14:paraId="795B391F" w14:textId="77777777" w:rsidR="00666461" w:rsidRPr="00123AB9" w:rsidRDefault="00666461" w:rsidP="00666461">
      <w:pPr>
        <w:spacing w:after="0" w:line="240" w:lineRule="auto"/>
        <w:rPr>
          <w:szCs w:val="20"/>
        </w:rPr>
      </w:pPr>
    </w:p>
    <w:p w14:paraId="3BAB6567" w14:textId="77777777" w:rsidR="00666461" w:rsidRPr="00123AB9" w:rsidRDefault="00666461" w:rsidP="00666461">
      <w:pPr>
        <w:pStyle w:val="Heading3"/>
      </w:pPr>
      <w:r w:rsidRPr="00123AB9">
        <w:lastRenderedPageBreak/>
        <w:t>1. Functions and Goals</w:t>
      </w:r>
    </w:p>
    <w:p w14:paraId="395E0619" w14:textId="77777777" w:rsidR="00666461" w:rsidRPr="00123AB9" w:rsidRDefault="00666461" w:rsidP="00666461">
      <w:pPr>
        <w:pStyle w:val="ListParagraph0"/>
        <w:numPr>
          <w:ilvl w:val="0"/>
          <w:numId w:val="17"/>
        </w:numPr>
        <w:spacing w:before="0" w:after="160" w:line="240" w:lineRule="auto"/>
        <w:contextualSpacing/>
        <w:rPr>
          <w:i/>
          <w:iCs/>
          <w:szCs w:val="20"/>
        </w:rPr>
      </w:pPr>
      <w:r w:rsidRPr="00123AB9">
        <w:rPr>
          <w:i/>
          <w:iCs/>
          <w:szCs w:val="20"/>
        </w:rPr>
        <w:t xml:space="preserve">assess whether the identified functions and goals of ITaLI are consistent with UQ strategy and planning, and the University’s general objectives in learning, </w:t>
      </w:r>
      <w:proofErr w:type="gramStart"/>
      <w:r w:rsidRPr="00123AB9">
        <w:rPr>
          <w:i/>
          <w:iCs/>
          <w:szCs w:val="20"/>
        </w:rPr>
        <w:t>discovery</w:t>
      </w:r>
      <w:proofErr w:type="gramEnd"/>
      <w:r w:rsidRPr="00123AB9">
        <w:rPr>
          <w:i/>
          <w:iCs/>
          <w:szCs w:val="20"/>
        </w:rPr>
        <w:t xml:space="preserve"> and engagement</w:t>
      </w:r>
    </w:p>
    <w:p w14:paraId="671CB336" w14:textId="77777777" w:rsidR="00666461" w:rsidRPr="00123AB9" w:rsidRDefault="00666461" w:rsidP="00666461">
      <w:pPr>
        <w:pStyle w:val="ListParagraph0"/>
        <w:numPr>
          <w:ilvl w:val="0"/>
          <w:numId w:val="17"/>
        </w:numPr>
        <w:spacing w:before="0" w:after="160" w:line="240" w:lineRule="auto"/>
        <w:contextualSpacing/>
        <w:rPr>
          <w:i/>
          <w:iCs/>
          <w:szCs w:val="20"/>
        </w:rPr>
      </w:pPr>
      <w:r w:rsidRPr="00123AB9">
        <w:rPr>
          <w:i/>
          <w:iCs/>
          <w:szCs w:val="20"/>
        </w:rPr>
        <w:t xml:space="preserve">assess whether the identified functions and goals of ITaLI are clearly articulated, aligned and enacted with respect to the strategic objectives of the </w:t>
      </w:r>
      <w:proofErr w:type="gramStart"/>
      <w:r w:rsidRPr="00123AB9">
        <w:rPr>
          <w:i/>
          <w:iCs/>
          <w:szCs w:val="20"/>
        </w:rPr>
        <w:t>Faculties</w:t>
      </w:r>
      <w:proofErr w:type="gramEnd"/>
    </w:p>
    <w:p w14:paraId="53141F6B" w14:textId="77777777" w:rsidR="00666461" w:rsidRPr="00DC7974" w:rsidRDefault="00666461" w:rsidP="00666461">
      <w:pPr>
        <w:spacing w:line="240" w:lineRule="auto"/>
        <w:rPr>
          <w:szCs w:val="20"/>
        </w:rPr>
      </w:pPr>
      <w:r w:rsidRPr="00123AB9">
        <w:rPr>
          <w:szCs w:val="20"/>
          <w:highlight w:val="yellow"/>
        </w:rPr>
        <w:t>[Response, if applicable]</w:t>
      </w:r>
    </w:p>
    <w:p w14:paraId="46062EED" w14:textId="77777777" w:rsidR="00666461" w:rsidRDefault="00666461" w:rsidP="00666461">
      <w:pPr>
        <w:spacing w:line="240" w:lineRule="auto"/>
        <w:rPr>
          <w:szCs w:val="20"/>
        </w:rPr>
      </w:pPr>
    </w:p>
    <w:p w14:paraId="764318E1" w14:textId="77777777" w:rsidR="00666461" w:rsidRPr="00123AB9" w:rsidRDefault="00666461" w:rsidP="00666461">
      <w:pPr>
        <w:pStyle w:val="Heading3"/>
      </w:pPr>
      <w:r w:rsidRPr="00123AB9">
        <w:t>2.</w:t>
      </w:r>
      <w:r>
        <w:t xml:space="preserve"> </w:t>
      </w:r>
      <w:r w:rsidRPr="00123AB9">
        <w:t>Service Expectations</w:t>
      </w:r>
    </w:p>
    <w:p w14:paraId="071E6754" w14:textId="77777777" w:rsidR="00666461" w:rsidRPr="00123AB9" w:rsidRDefault="00666461" w:rsidP="00666461">
      <w:pPr>
        <w:spacing w:line="240" w:lineRule="auto"/>
        <w:rPr>
          <w:i/>
          <w:iCs/>
          <w:szCs w:val="20"/>
        </w:rPr>
      </w:pPr>
      <w:r w:rsidRPr="00123AB9">
        <w:rPr>
          <w:i/>
          <w:iCs/>
          <w:szCs w:val="20"/>
        </w:rPr>
        <w:t xml:space="preserve">identify the institution’s service expectations for ITaLI with respect to supporting the </w:t>
      </w:r>
      <w:proofErr w:type="gramStart"/>
      <w:r w:rsidRPr="00123AB9">
        <w:rPr>
          <w:i/>
          <w:iCs/>
          <w:szCs w:val="20"/>
        </w:rPr>
        <w:t>Faculties</w:t>
      </w:r>
      <w:proofErr w:type="gramEnd"/>
      <w:r w:rsidRPr="00123AB9">
        <w:rPr>
          <w:i/>
          <w:iCs/>
          <w:szCs w:val="20"/>
        </w:rPr>
        <w:t xml:space="preserve"> achieve their strategic objectives and assess </w:t>
      </w:r>
      <w:proofErr w:type="spellStart"/>
      <w:r w:rsidRPr="00123AB9">
        <w:rPr>
          <w:i/>
          <w:iCs/>
          <w:szCs w:val="20"/>
        </w:rPr>
        <w:t>ITaLI’s</w:t>
      </w:r>
      <w:proofErr w:type="spellEnd"/>
      <w:r w:rsidRPr="00123AB9">
        <w:rPr>
          <w:i/>
          <w:iCs/>
          <w:szCs w:val="20"/>
        </w:rPr>
        <w:t xml:space="preserve"> ability to meet them</w:t>
      </w:r>
    </w:p>
    <w:p w14:paraId="346EB119"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158CCCAC" w14:textId="77777777" w:rsidR="00666461" w:rsidRDefault="00666461" w:rsidP="00666461">
      <w:pPr>
        <w:spacing w:line="240" w:lineRule="auto"/>
        <w:rPr>
          <w:szCs w:val="20"/>
        </w:rPr>
      </w:pPr>
    </w:p>
    <w:p w14:paraId="5594ABFD" w14:textId="77777777" w:rsidR="00666461" w:rsidRPr="00123AB9" w:rsidRDefault="00666461" w:rsidP="00666461">
      <w:pPr>
        <w:pStyle w:val="Heading3"/>
      </w:pPr>
      <w:r w:rsidRPr="00123AB9">
        <w:t>3.</w:t>
      </w:r>
      <w:r>
        <w:t xml:space="preserve"> </w:t>
      </w:r>
      <w:r w:rsidRPr="00123AB9">
        <w:t>Service Culture</w:t>
      </w:r>
    </w:p>
    <w:p w14:paraId="4396EA04" w14:textId="77777777" w:rsidR="00666461" w:rsidRPr="00123AB9" w:rsidRDefault="00666461" w:rsidP="00666461">
      <w:pPr>
        <w:spacing w:line="240" w:lineRule="auto"/>
        <w:rPr>
          <w:i/>
          <w:iCs/>
          <w:szCs w:val="20"/>
        </w:rPr>
      </w:pPr>
      <w:r w:rsidRPr="00123AB9">
        <w:rPr>
          <w:i/>
          <w:iCs/>
          <w:szCs w:val="20"/>
        </w:rPr>
        <w:t>seek and evaluate client views of the unit’s service culture and identify strengths and opportunities for improvement over the short and long term</w:t>
      </w:r>
    </w:p>
    <w:p w14:paraId="0F9C84E1"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02A27506" w14:textId="77777777" w:rsidR="00666461" w:rsidRDefault="00666461" w:rsidP="00666461">
      <w:pPr>
        <w:spacing w:line="240" w:lineRule="auto"/>
        <w:rPr>
          <w:szCs w:val="20"/>
        </w:rPr>
      </w:pPr>
    </w:p>
    <w:p w14:paraId="2D700D05" w14:textId="77777777" w:rsidR="00666461" w:rsidRPr="00123AB9" w:rsidRDefault="00666461" w:rsidP="00666461">
      <w:pPr>
        <w:pStyle w:val="Heading3"/>
      </w:pPr>
      <w:r w:rsidRPr="00123AB9">
        <w:t>4.</w:t>
      </w:r>
      <w:r>
        <w:t xml:space="preserve"> </w:t>
      </w:r>
      <w:r w:rsidRPr="00123AB9">
        <w:t>Service Culture</w:t>
      </w:r>
    </w:p>
    <w:p w14:paraId="3EB0483E" w14:textId="77777777" w:rsidR="00666461" w:rsidRPr="00123AB9" w:rsidRDefault="00666461" w:rsidP="00666461">
      <w:pPr>
        <w:pStyle w:val="ListParagraph0"/>
        <w:numPr>
          <w:ilvl w:val="0"/>
          <w:numId w:val="18"/>
        </w:numPr>
        <w:spacing w:before="0" w:after="160" w:line="240" w:lineRule="auto"/>
        <w:contextualSpacing/>
        <w:rPr>
          <w:i/>
          <w:iCs/>
          <w:szCs w:val="20"/>
        </w:rPr>
      </w:pPr>
      <w:r w:rsidRPr="00123AB9">
        <w:rPr>
          <w:i/>
          <w:iCs/>
          <w:szCs w:val="20"/>
        </w:rPr>
        <w:t>review the scope of current and planned work and mechanisms by which work is allocated to the unit, and the role and capacity of ITaLI to support faculty led change, including the nature of connectivity across ITaLI and Faculties</w:t>
      </w:r>
    </w:p>
    <w:p w14:paraId="0BD051B0" w14:textId="77777777" w:rsidR="00666461" w:rsidRPr="00123AB9" w:rsidRDefault="00666461" w:rsidP="00666461">
      <w:pPr>
        <w:pStyle w:val="ListParagraph0"/>
        <w:numPr>
          <w:ilvl w:val="0"/>
          <w:numId w:val="18"/>
        </w:numPr>
        <w:spacing w:before="0" w:after="160" w:line="240" w:lineRule="auto"/>
        <w:contextualSpacing/>
        <w:rPr>
          <w:i/>
          <w:iCs/>
          <w:szCs w:val="20"/>
        </w:rPr>
      </w:pPr>
      <w:r w:rsidRPr="00123AB9">
        <w:rPr>
          <w:i/>
          <w:iCs/>
          <w:szCs w:val="20"/>
        </w:rPr>
        <w:t xml:space="preserve">identify the essential relationships which are required to augment and deliver </w:t>
      </w:r>
      <w:proofErr w:type="spellStart"/>
      <w:r w:rsidRPr="00123AB9">
        <w:rPr>
          <w:i/>
          <w:iCs/>
          <w:szCs w:val="20"/>
        </w:rPr>
        <w:t>ITaLI’s</w:t>
      </w:r>
      <w:proofErr w:type="spellEnd"/>
      <w:r w:rsidRPr="00123AB9">
        <w:rPr>
          <w:i/>
          <w:iCs/>
          <w:szCs w:val="20"/>
        </w:rPr>
        <w:t xml:space="preserve"> activities, </w:t>
      </w:r>
      <w:proofErr w:type="gramStart"/>
      <w:r w:rsidRPr="00123AB9">
        <w:rPr>
          <w:i/>
          <w:iCs/>
          <w:szCs w:val="20"/>
        </w:rPr>
        <w:t>functions</w:t>
      </w:r>
      <w:proofErr w:type="gramEnd"/>
      <w:r w:rsidRPr="00123AB9">
        <w:rPr>
          <w:i/>
          <w:iCs/>
          <w:szCs w:val="20"/>
        </w:rPr>
        <w:t xml:space="preserve"> and services</w:t>
      </w:r>
    </w:p>
    <w:p w14:paraId="51DA7446"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44AB8921" w14:textId="77777777" w:rsidR="00666461" w:rsidRDefault="00666461" w:rsidP="00666461">
      <w:pPr>
        <w:spacing w:line="240" w:lineRule="auto"/>
        <w:rPr>
          <w:szCs w:val="20"/>
        </w:rPr>
      </w:pPr>
    </w:p>
    <w:p w14:paraId="03B89FD1" w14:textId="77777777" w:rsidR="00666461" w:rsidRPr="00123AB9" w:rsidRDefault="00666461" w:rsidP="00666461">
      <w:pPr>
        <w:pStyle w:val="Heading3"/>
      </w:pPr>
      <w:r w:rsidRPr="00123AB9">
        <w:t>5.</w:t>
      </w:r>
      <w:r>
        <w:t xml:space="preserve"> </w:t>
      </w:r>
      <w:r w:rsidRPr="00123AB9">
        <w:t>Organisational Structure</w:t>
      </w:r>
    </w:p>
    <w:p w14:paraId="5CD7CCD2" w14:textId="77777777" w:rsidR="00666461" w:rsidRPr="00123AB9" w:rsidRDefault="00666461" w:rsidP="00666461">
      <w:pPr>
        <w:pStyle w:val="ListParagraph0"/>
        <w:numPr>
          <w:ilvl w:val="0"/>
          <w:numId w:val="19"/>
        </w:numPr>
        <w:spacing w:before="0" w:after="160" w:line="240" w:lineRule="auto"/>
        <w:contextualSpacing/>
        <w:rPr>
          <w:i/>
          <w:iCs/>
          <w:szCs w:val="20"/>
        </w:rPr>
      </w:pPr>
      <w:r w:rsidRPr="00123AB9">
        <w:rPr>
          <w:i/>
          <w:iCs/>
          <w:szCs w:val="20"/>
        </w:rPr>
        <w:t>review the organisational structure, service strategy, planning and design, and staffing of the unit in the context of its ability to meet its identified functions and goals</w:t>
      </w:r>
    </w:p>
    <w:p w14:paraId="5DD98175" w14:textId="77777777" w:rsidR="00666461" w:rsidRPr="00123AB9" w:rsidRDefault="00666461" w:rsidP="00666461">
      <w:pPr>
        <w:pStyle w:val="ListParagraph0"/>
        <w:numPr>
          <w:ilvl w:val="0"/>
          <w:numId w:val="19"/>
        </w:numPr>
        <w:spacing w:before="0" w:after="160" w:line="240" w:lineRule="auto"/>
        <w:contextualSpacing/>
        <w:rPr>
          <w:i/>
          <w:iCs/>
          <w:szCs w:val="20"/>
        </w:rPr>
      </w:pPr>
      <w:r w:rsidRPr="00123AB9">
        <w:rPr>
          <w:i/>
          <w:iCs/>
          <w:szCs w:val="20"/>
        </w:rPr>
        <w:t>review of governance arrangements and operation of decision-making functions</w:t>
      </w:r>
    </w:p>
    <w:p w14:paraId="7C48584A"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7E701992" w14:textId="77777777" w:rsidR="00666461" w:rsidRDefault="00666461" w:rsidP="00666461">
      <w:pPr>
        <w:spacing w:line="240" w:lineRule="auto"/>
        <w:rPr>
          <w:szCs w:val="20"/>
        </w:rPr>
      </w:pPr>
    </w:p>
    <w:p w14:paraId="2D91FEA3" w14:textId="77777777" w:rsidR="00666461" w:rsidRPr="00123AB9" w:rsidRDefault="00666461" w:rsidP="00666461">
      <w:pPr>
        <w:pStyle w:val="Heading3"/>
      </w:pPr>
      <w:r w:rsidRPr="00123AB9">
        <w:t>6.</w:t>
      </w:r>
      <w:r>
        <w:t xml:space="preserve"> </w:t>
      </w:r>
      <w:r w:rsidRPr="00123AB9">
        <w:t>Research</w:t>
      </w:r>
    </w:p>
    <w:p w14:paraId="54E26BC9" w14:textId="77777777" w:rsidR="00666461" w:rsidRPr="00123AB9" w:rsidRDefault="00666461" w:rsidP="00666461">
      <w:pPr>
        <w:spacing w:line="240" w:lineRule="auto"/>
        <w:rPr>
          <w:i/>
          <w:iCs/>
          <w:szCs w:val="20"/>
        </w:rPr>
      </w:pPr>
      <w:r w:rsidRPr="00123AB9">
        <w:rPr>
          <w:i/>
          <w:iCs/>
          <w:szCs w:val="20"/>
        </w:rPr>
        <w:t xml:space="preserve">review </w:t>
      </w:r>
      <w:proofErr w:type="spellStart"/>
      <w:r w:rsidRPr="00123AB9">
        <w:rPr>
          <w:i/>
          <w:iCs/>
          <w:szCs w:val="20"/>
        </w:rPr>
        <w:t>ITaLI’s</w:t>
      </w:r>
      <w:proofErr w:type="spellEnd"/>
      <w:r w:rsidRPr="00123AB9">
        <w:rPr>
          <w:i/>
          <w:iCs/>
          <w:szCs w:val="20"/>
        </w:rPr>
        <w:t xml:space="preserve"> contributions to informing, advancing, </w:t>
      </w:r>
      <w:proofErr w:type="gramStart"/>
      <w:r w:rsidRPr="00123AB9">
        <w:rPr>
          <w:i/>
          <w:iCs/>
          <w:szCs w:val="20"/>
        </w:rPr>
        <w:t>embedding</w:t>
      </w:r>
      <w:proofErr w:type="gramEnd"/>
      <w:r w:rsidRPr="00123AB9">
        <w:rPr>
          <w:i/>
          <w:iCs/>
          <w:szCs w:val="20"/>
        </w:rPr>
        <w:t xml:space="preserve"> and creating new knowledge across the university in research-based teaching and learning technologies, pedagogies and leadership and in the delivery of </w:t>
      </w:r>
      <w:proofErr w:type="spellStart"/>
      <w:r w:rsidRPr="00123AB9">
        <w:rPr>
          <w:i/>
          <w:iCs/>
          <w:szCs w:val="20"/>
        </w:rPr>
        <w:t>ITaLI’s</w:t>
      </w:r>
      <w:proofErr w:type="spellEnd"/>
      <w:r w:rsidRPr="00123AB9">
        <w:rPr>
          <w:i/>
          <w:iCs/>
          <w:szCs w:val="20"/>
        </w:rPr>
        <w:t xml:space="preserve"> services</w:t>
      </w:r>
    </w:p>
    <w:p w14:paraId="0D4DDD2F"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7F2AFB68" w14:textId="77777777" w:rsidR="00666461" w:rsidRDefault="00666461" w:rsidP="00666461">
      <w:pPr>
        <w:spacing w:line="240" w:lineRule="auto"/>
        <w:rPr>
          <w:szCs w:val="20"/>
        </w:rPr>
      </w:pPr>
    </w:p>
    <w:p w14:paraId="2EFBD2D9" w14:textId="77777777" w:rsidR="00666461" w:rsidRPr="00123AB9" w:rsidRDefault="00666461" w:rsidP="00666461">
      <w:pPr>
        <w:pStyle w:val="Heading3"/>
      </w:pPr>
      <w:r w:rsidRPr="00123AB9">
        <w:lastRenderedPageBreak/>
        <w:t>7.</w:t>
      </w:r>
      <w:r>
        <w:t xml:space="preserve"> </w:t>
      </w:r>
      <w:r w:rsidRPr="00123AB9">
        <w:t>Resources</w:t>
      </w:r>
    </w:p>
    <w:p w14:paraId="0DD4914C" w14:textId="77777777" w:rsidR="00666461" w:rsidRPr="00123AB9" w:rsidRDefault="00666461" w:rsidP="00666461">
      <w:pPr>
        <w:spacing w:line="240" w:lineRule="auto"/>
        <w:rPr>
          <w:i/>
          <w:iCs/>
          <w:szCs w:val="20"/>
        </w:rPr>
      </w:pPr>
      <w:r w:rsidRPr="00123AB9">
        <w:rPr>
          <w:i/>
          <w:iCs/>
          <w:szCs w:val="20"/>
        </w:rPr>
        <w:t>assess the level of resources needed for effective support of the unit</w:t>
      </w:r>
    </w:p>
    <w:p w14:paraId="2ED6C882"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00D6EA0A" w14:textId="77777777" w:rsidR="00666461" w:rsidRDefault="00666461" w:rsidP="00666461">
      <w:pPr>
        <w:spacing w:line="240" w:lineRule="auto"/>
        <w:rPr>
          <w:szCs w:val="20"/>
        </w:rPr>
      </w:pPr>
    </w:p>
    <w:p w14:paraId="4FDD27B2" w14:textId="77777777" w:rsidR="00666461" w:rsidRPr="00123AB9" w:rsidRDefault="00666461" w:rsidP="00666461">
      <w:pPr>
        <w:pStyle w:val="Heading3"/>
      </w:pPr>
      <w:r w:rsidRPr="00123AB9">
        <w:t>8.</w:t>
      </w:r>
      <w:r>
        <w:t xml:space="preserve"> </w:t>
      </w:r>
      <w:r w:rsidRPr="00123AB9">
        <w:t>Key Performance Indicators</w:t>
      </w:r>
    </w:p>
    <w:p w14:paraId="7248BBFE" w14:textId="77777777" w:rsidR="00666461" w:rsidRPr="00123AB9" w:rsidRDefault="00666461" w:rsidP="00666461">
      <w:pPr>
        <w:spacing w:line="240" w:lineRule="auto"/>
        <w:rPr>
          <w:i/>
          <w:iCs/>
          <w:szCs w:val="20"/>
        </w:rPr>
      </w:pPr>
      <w:r w:rsidRPr="00123AB9">
        <w:rPr>
          <w:i/>
          <w:iCs/>
          <w:szCs w:val="20"/>
        </w:rPr>
        <w:t>identify key performance indicators relevant to a customer service focused unit for future evaluation</w:t>
      </w:r>
    </w:p>
    <w:p w14:paraId="6B60ECE4"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006CDD25" w14:textId="77777777" w:rsidR="00666461" w:rsidRDefault="00666461" w:rsidP="00666461">
      <w:pPr>
        <w:spacing w:line="240" w:lineRule="auto"/>
        <w:rPr>
          <w:szCs w:val="20"/>
        </w:rPr>
      </w:pPr>
    </w:p>
    <w:p w14:paraId="6B6C80B9" w14:textId="77777777" w:rsidR="00666461" w:rsidRPr="00123AB9" w:rsidRDefault="00666461" w:rsidP="00666461">
      <w:pPr>
        <w:pStyle w:val="Heading3"/>
      </w:pPr>
      <w:r w:rsidRPr="00123AB9">
        <w:t>9.</w:t>
      </w:r>
      <w:r>
        <w:t xml:space="preserve"> </w:t>
      </w:r>
      <w:r w:rsidRPr="00123AB9">
        <w:t>Equity and Diversity</w:t>
      </w:r>
    </w:p>
    <w:p w14:paraId="3C932076" w14:textId="77777777" w:rsidR="00666461" w:rsidRPr="00123AB9" w:rsidRDefault="00666461" w:rsidP="00666461">
      <w:pPr>
        <w:spacing w:line="240" w:lineRule="auto"/>
        <w:rPr>
          <w:i/>
          <w:iCs/>
          <w:szCs w:val="20"/>
        </w:rPr>
      </w:pPr>
      <w:r w:rsidRPr="00123AB9">
        <w:rPr>
          <w:i/>
          <w:iCs/>
          <w:szCs w:val="20"/>
        </w:rPr>
        <w:t>consider the performance of the Unit in equity and diversity issues and the procedures to maintain or enhance them</w:t>
      </w:r>
    </w:p>
    <w:p w14:paraId="7351196B" w14:textId="77777777" w:rsidR="00666461" w:rsidRPr="00123AB9" w:rsidRDefault="00666461" w:rsidP="00666461">
      <w:pPr>
        <w:spacing w:line="240" w:lineRule="auto"/>
        <w:rPr>
          <w:szCs w:val="20"/>
          <w:highlight w:val="yellow"/>
        </w:rPr>
      </w:pPr>
      <w:r w:rsidRPr="00123AB9">
        <w:rPr>
          <w:szCs w:val="20"/>
          <w:highlight w:val="yellow"/>
        </w:rPr>
        <w:t>[Response, if applicable]</w:t>
      </w:r>
    </w:p>
    <w:p w14:paraId="3B3EBEE9" w14:textId="77777777" w:rsidR="009E3FDE" w:rsidRPr="00666461" w:rsidRDefault="009E3FDE" w:rsidP="00666461"/>
    <w:sectPr w:rsidR="009E3FDE" w:rsidRPr="00666461" w:rsidSect="00666461">
      <w:headerReference w:type="default" r:id="rId9"/>
      <w:footerReference w:type="default" r:id="rId10"/>
      <w:headerReference w:type="first" r:id="rId11"/>
      <w:footerReference w:type="first" r:id="rId12"/>
      <w:pgSz w:w="11906" w:h="16838" w:code="9"/>
      <w:pgMar w:top="2269" w:right="1134" w:bottom="1134" w:left="1134"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EB87" w14:textId="77777777" w:rsidR="00666461" w:rsidRDefault="00666461" w:rsidP="00C20C17">
      <w:r>
        <w:separator/>
      </w:r>
    </w:p>
  </w:endnote>
  <w:endnote w:type="continuationSeparator" w:id="0">
    <w:p w14:paraId="6A912816" w14:textId="77777777" w:rsidR="00666461" w:rsidRDefault="0066646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042DF" w14:paraId="3C02AC56" w14:textId="77777777" w:rsidTr="00B042DF">
      <w:tc>
        <w:tcPr>
          <w:tcW w:w="9072" w:type="dxa"/>
          <w:vAlign w:val="bottom"/>
        </w:tcPr>
        <w:p w14:paraId="0BD7F127" w14:textId="77777777" w:rsidR="00B042DF" w:rsidRDefault="00B042DF" w:rsidP="00B042DF">
          <w:pPr>
            <w:pStyle w:val="Footer"/>
            <w:jc w:val="right"/>
          </w:pPr>
        </w:p>
      </w:tc>
      <w:tc>
        <w:tcPr>
          <w:tcW w:w="556" w:type="dxa"/>
          <w:vAlign w:val="bottom"/>
        </w:tcPr>
        <w:p w14:paraId="764B2621"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4D9A2BE5"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3CB207A7" w14:textId="77777777" w:rsidTr="0016241C">
      <w:tc>
        <w:tcPr>
          <w:tcW w:w="2548" w:type="dxa"/>
        </w:tcPr>
        <w:p w14:paraId="520639E9" w14:textId="77777777" w:rsidR="006873AE" w:rsidRPr="0016241C" w:rsidRDefault="006873AE" w:rsidP="0016241C">
          <w:pPr>
            <w:pStyle w:val="Footer"/>
          </w:pPr>
          <w:r w:rsidRPr="0016241C">
            <w:t>The University of Queensland Brisbane QLD 4072 Australia</w:t>
          </w:r>
        </w:p>
      </w:tc>
      <w:tc>
        <w:tcPr>
          <w:tcW w:w="1778" w:type="dxa"/>
        </w:tcPr>
        <w:p w14:paraId="53E8901C"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9567CB480AE448C08FC179CDB66E601A"/>
              </w:placeholder>
              <w:temporary/>
              <w:showingPlcHdr/>
              <w:text w:multiLine="1"/>
            </w:sdtPr>
            <w:sdtEndPr/>
            <w:sdtContent>
              <w:r w:rsidRPr="0016241C">
                <w:rPr>
                  <w:highlight w:val="yellow"/>
                </w:rPr>
                <w:t>[0000 0000]</w:t>
              </w:r>
            </w:sdtContent>
          </w:sdt>
        </w:p>
        <w:p w14:paraId="1BED74AA"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temporary/>
              <w:showingPlcHdr/>
              <w:text w:multiLine="1"/>
            </w:sdtPr>
            <w:sdtEndPr/>
            <w:sdtContent>
              <w:r w:rsidRPr="0016241C">
                <w:rPr>
                  <w:highlight w:val="yellow"/>
                </w:rPr>
                <w:t>[0000 0000]</w:t>
              </w:r>
            </w:sdtContent>
          </w:sdt>
        </w:p>
      </w:tc>
      <w:tc>
        <w:tcPr>
          <w:tcW w:w="2547" w:type="dxa"/>
        </w:tcPr>
        <w:p w14:paraId="7FA16636" w14:textId="77777777" w:rsidR="0016241C" w:rsidRPr="0016241C" w:rsidRDefault="0016241C" w:rsidP="0016241C">
          <w:pPr>
            <w:pStyle w:val="Footer"/>
          </w:pPr>
          <w:r w:rsidRPr="0016241C">
            <w:rPr>
              <w:b/>
              <w:color w:val="51247A" w:themeColor="accent1"/>
              <w:sz w:val="11"/>
              <w:szCs w:val="11"/>
            </w:rPr>
            <w:t>E</w:t>
          </w:r>
          <w:r w:rsidRPr="0016241C">
            <w:tab/>
          </w:r>
          <w:sdt>
            <w:sdtPr>
              <w:id w:val="211628740"/>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6DDB1841"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093E7286"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3BBC2A5D" w14:textId="77777777" w:rsidR="006873AE" w:rsidRPr="0016241C" w:rsidRDefault="0016241C" w:rsidP="0016241C">
          <w:pPr>
            <w:pStyle w:val="Footer"/>
            <w:rPr>
              <w:sz w:val="11"/>
              <w:szCs w:val="11"/>
            </w:rPr>
          </w:pPr>
          <w:r w:rsidRPr="0016241C">
            <w:rPr>
              <w:sz w:val="11"/>
              <w:szCs w:val="11"/>
            </w:rPr>
            <w:t>CRICOS PROVIDER NUMBER 00025B</w:t>
          </w:r>
        </w:p>
      </w:tc>
    </w:tr>
  </w:tbl>
  <w:p w14:paraId="14DC71A7"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C04A" w14:textId="77777777" w:rsidR="00666461" w:rsidRDefault="00666461" w:rsidP="00C20C17">
      <w:r>
        <w:separator/>
      </w:r>
    </w:p>
  </w:footnote>
  <w:footnote w:type="continuationSeparator" w:id="0">
    <w:p w14:paraId="282AD341" w14:textId="77777777" w:rsidR="00666461" w:rsidRDefault="0066646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2837" w14:textId="77777777" w:rsidR="007B0BBA" w:rsidRDefault="007B0BBA" w:rsidP="007B0BBA">
    <w:pPr>
      <w:pStyle w:val="Header"/>
      <w:jc w:val="right"/>
    </w:pPr>
  </w:p>
  <w:p w14:paraId="6FDF8C69" w14:textId="77777777" w:rsidR="007B0BBA" w:rsidRDefault="007B0BBA" w:rsidP="007B0BBA">
    <w:pPr>
      <w:pStyle w:val="Header"/>
    </w:pPr>
    <w:r>
      <w:rPr>
        <w:noProof/>
      </w:rPr>
      <w:drawing>
        <wp:anchor distT="0" distB="0" distL="114300" distR="114300" simplePos="0" relativeHeight="251661312" behindDoc="0" locked="0" layoutInCell="1" allowOverlap="1" wp14:anchorId="351095C4" wp14:editId="44F46DA9">
          <wp:simplePos x="0" y="0"/>
          <wp:positionH relativeFrom="margin">
            <wp:align>right</wp:align>
          </wp:positionH>
          <wp:positionV relativeFrom="paragraph">
            <wp:posOffset>32212</wp:posOffset>
          </wp:positionV>
          <wp:extent cx="1392603" cy="57956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392603" cy="579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129B" w14:textId="77777777" w:rsidR="00F4114D" w:rsidRDefault="00F4114D" w:rsidP="00F4114D">
    <w:pPr>
      <w:pStyle w:val="Header"/>
      <w:jc w:val="right"/>
    </w:pPr>
  </w:p>
  <w:p w14:paraId="1AA09D53" w14:textId="77777777" w:rsidR="00F4114D" w:rsidRDefault="00F4114D" w:rsidP="00F4114D">
    <w:pPr>
      <w:pStyle w:val="Header"/>
    </w:pPr>
    <w:r>
      <w:rPr>
        <w:noProof/>
      </w:rPr>
      <w:drawing>
        <wp:anchor distT="0" distB="0" distL="114300" distR="114300" simplePos="0" relativeHeight="251659264" behindDoc="0" locked="0" layoutInCell="1" allowOverlap="1" wp14:anchorId="517C62AF" wp14:editId="2BE2B49C">
          <wp:simplePos x="0" y="0"/>
          <wp:positionH relativeFrom="column">
            <wp:posOffset>4358640</wp:posOffset>
          </wp:positionH>
          <wp:positionV relativeFrom="paragraph">
            <wp:posOffset>22860</wp:posOffset>
          </wp:positionV>
          <wp:extent cx="1584000" cy="65453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4F747FE"/>
    <w:multiLevelType w:val="hybridMultilevel"/>
    <w:tmpl w:val="477A7C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48FA743B"/>
    <w:multiLevelType w:val="hybridMultilevel"/>
    <w:tmpl w:val="0D8888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6FA13541"/>
    <w:multiLevelType w:val="hybridMultilevel"/>
    <w:tmpl w:val="CAE42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A5849C6"/>
    <w:multiLevelType w:val="hybridMultilevel"/>
    <w:tmpl w:val="F29E5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3"/>
  </w:num>
  <w:num w:numId="5">
    <w:abstractNumId w:val="13"/>
  </w:num>
  <w:num w:numId="6">
    <w:abstractNumId w:val="5"/>
  </w:num>
  <w:num w:numId="7">
    <w:abstractNumId w:val="7"/>
  </w:num>
  <w:num w:numId="8">
    <w:abstractNumId w:val="8"/>
  </w:num>
  <w:num w:numId="9">
    <w:abstractNumId w:val="2"/>
  </w:num>
  <w:num w:numId="10">
    <w:abstractNumId w:val="10"/>
  </w:num>
  <w:num w:numId="11">
    <w:abstractNumId w:val="1"/>
  </w:num>
  <w:num w:numId="12">
    <w:abstractNumId w:val="0"/>
  </w:num>
  <w:num w:numId="13">
    <w:abstractNumId w:val="11"/>
  </w:num>
  <w:num w:numId="14">
    <w:abstractNumId w:val="14"/>
  </w:num>
  <w:num w:numId="15">
    <w:abstractNumId w:val="11"/>
  </w:num>
  <w:num w:numId="16">
    <w:abstractNumId w:val="15"/>
  </w:num>
  <w:num w:numId="17">
    <w:abstractNumId w:val="17"/>
  </w:num>
  <w:num w:numId="18">
    <w:abstractNumId w:val="6"/>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61"/>
    <w:rsid w:val="000300D4"/>
    <w:rsid w:val="000A7AFE"/>
    <w:rsid w:val="000B3E75"/>
    <w:rsid w:val="00151FB7"/>
    <w:rsid w:val="0016241C"/>
    <w:rsid w:val="001741BF"/>
    <w:rsid w:val="00193459"/>
    <w:rsid w:val="00196C64"/>
    <w:rsid w:val="001B6A57"/>
    <w:rsid w:val="001E544B"/>
    <w:rsid w:val="002142AC"/>
    <w:rsid w:val="00241DF1"/>
    <w:rsid w:val="00287293"/>
    <w:rsid w:val="00292EDB"/>
    <w:rsid w:val="002D73F6"/>
    <w:rsid w:val="002F612F"/>
    <w:rsid w:val="00310B79"/>
    <w:rsid w:val="0033054B"/>
    <w:rsid w:val="00416FF4"/>
    <w:rsid w:val="00445521"/>
    <w:rsid w:val="00463D08"/>
    <w:rsid w:val="004713C5"/>
    <w:rsid w:val="004972A0"/>
    <w:rsid w:val="005A6CC7"/>
    <w:rsid w:val="005B54F0"/>
    <w:rsid w:val="005D0167"/>
    <w:rsid w:val="005D4250"/>
    <w:rsid w:val="005E7363"/>
    <w:rsid w:val="00614669"/>
    <w:rsid w:val="006377A2"/>
    <w:rsid w:val="00666461"/>
    <w:rsid w:val="00670B05"/>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C20C17"/>
    <w:rsid w:val="00C33B32"/>
    <w:rsid w:val="00C474B7"/>
    <w:rsid w:val="00C960ED"/>
    <w:rsid w:val="00D13C7F"/>
    <w:rsid w:val="00D32971"/>
    <w:rsid w:val="00D8242B"/>
    <w:rsid w:val="00DA5594"/>
    <w:rsid w:val="00DD0AFE"/>
    <w:rsid w:val="00DD3FBD"/>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AC9A"/>
  <w15:chartTrackingRefBased/>
  <w15:docId w15:val="{FDA601EF-20E2-44CA-A1E8-C25964BA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61"/>
    <w:rPr>
      <w:rFonts w:ascii="Arial" w:hAnsi="Arial"/>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a.academicprojects@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TaLI\Common\Templates\Word%20templates%20(Report,%20Agenda,%20Minutes,%20Memo,%20Letterhead,%20Generic%20doc)\Blank%20documents\Blank_word_document_portrait(create%20cha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7CB480AE448C08FC179CDB66E601A"/>
        <w:category>
          <w:name w:val="General"/>
          <w:gallery w:val="placeholder"/>
        </w:category>
        <w:types>
          <w:type w:val="bbPlcHdr"/>
        </w:types>
        <w:behaviors>
          <w:behavior w:val="content"/>
        </w:behaviors>
        <w:guid w:val="{19DCB999-F371-4ABE-B660-8E2725286051}"/>
      </w:docPartPr>
      <w:docPartBody>
        <w:p w:rsidR="00000000" w:rsidRDefault="009472F6" w:rsidP="009472F6">
          <w:pPr>
            <w:pStyle w:val="9567CB480AE448C08FC179CDB66E601A"/>
          </w:pPr>
          <w:r w:rsidRPr="007B14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F6"/>
    <w:rsid w:val="00947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2F6"/>
    <w:rPr>
      <w:color w:val="808080"/>
    </w:rPr>
  </w:style>
  <w:style w:type="paragraph" w:customStyle="1" w:styleId="9567CB480AE448C08FC179CDB66E601A">
    <w:name w:val="9567CB480AE448C08FC179CDB66E601A"/>
    <w:rsid w:val="0094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8658-E441-4179-AD4D-D6D64C08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Blank_word_document_portrait(create change)</Template>
  <TotalTime>6</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Delphine Gonchond</cp:lastModifiedBy>
  <cp:revision>1</cp:revision>
  <dcterms:created xsi:type="dcterms:W3CDTF">2021-10-06T23:19:00Z</dcterms:created>
  <dcterms:modified xsi:type="dcterms:W3CDTF">2021-10-06T23:26:00Z</dcterms:modified>
</cp:coreProperties>
</file>