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DA38" w14:textId="77777777" w:rsidR="00B851FE" w:rsidRDefault="00785BC4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UQ Peer Observation</w:t>
      </w:r>
    </w:p>
    <w:p w14:paraId="617B483F" w14:textId="77777777" w:rsidR="00FB3F95" w:rsidRPr="00FB3F95" w:rsidRDefault="00FB3F9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Cs/>
          <w:color w:val="5B9BD5" w:themeColor="accent1"/>
          <w:sz w:val="24"/>
          <w:szCs w:val="28"/>
        </w:rPr>
      </w:pPr>
      <w:r>
        <w:rPr>
          <w:rFonts w:ascii="Calibri" w:hAnsi="Calibri" w:cs="Calibri"/>
          <w:bCs/>
          <w:color w:val="5B9BD5" w:themeColor="accent1"/>
          <w:sz w:val="24"/>
          <w:szCs w:val="28"/>
        </w:rPr>
        <w:t>T</w:t>
      </w: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his form </w:t>
      </w:r>
      <w:r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is designed to support peer observation of teaching, ideally fill in this form </w:t>
      </w: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>before your observation pre-meeting</w:t>
      </w:r>
      <w:r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 (but feel free to change the form through the meeting)</w:t>
      </w: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>.</w:t>
      </w:r>
    </w:p>
    <w:p w14:paraId="518F71AD" w14:textId="77777777" w:rsidR="00FB3F95" w:rsidRPr="00FB3F95" w:rsidRDefault="00FB3F9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Cs/>
          <w:color w:val="5B9BD5" w:themeColor="accent1"/>
          <w:sz w:val="24"/>
          <w:szCs w:val="28"/>
        </w:rPr>
      </w:pP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>This form provides many areas to guide observation. Pick the focus of your observation and remove the extra sections.</w:t>
      </w:r>
    </w:p>
    <w:p w14:paraId="0708DD0E" w14:textId="77777777" w:rsidR="00FB3F95" w:rsidRPr="00FB3F95" w:rsidRDefault="00FB3F9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Cs/>
          <w:color w:val="5B9BD5" w:themeColor="accent1"/>
          <w:sz w:val="24"/>
          <w:szCs w:val="28"/>
        </w:rPr>
      </w:pP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For more details visit </w:t>
      </w:r>
      <w:hyperlink r:id="rId4" w:history="1">
        <w:r w:rsidRPr="00FB3F95">
          <w:rPr>
            <w:rStyle w:val="Hyperlink"/>
            <w:rFonts w:ascii="Calibri" w:hAnsi="Calibri" w:cs="Calibri"/>
            <w:bCs/>
            <w:sz w:val="24"/>
            <w:szCs w:val="28"/>
          </w:rPr>
          <w:t>http://www.uq.edu.au/teach/peer-obs</w:t>
        </w:r>
      </w:hyperlink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 </w:t>
      </w:r>
    </w:p>
    <w:p w14:paraId="7A152871" w14:textId="77777777" w:rsidR="00FB3F95" w:rsidRPr="00FB3F95" w:rsidRDefault="00FB3F9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Cs/>
          <w:color w:val="5B9BD5" w:themeColor="accent1"/>
          <w:sz w:val="24"/>
          <w:szCs w:val="28"/>
        </w:rPr>
      </w:pPr>
      <w:r w:rsidRPr="00FB3F95"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Please register your peer observation activity at </w:t>
      </w:r>
      <w:hyperlink r:id="rId5" w:history="1">
        <w:r w:rsidRPr="00987CFF">
          <w:rPr>
            <w:rStyle w:val="Hyperlink"/>
            <w:rFonts w:ascii="Calibri" w:hAnsi="Calibri" w:cs="Calibri"/>
            <w:bCs/>
            <w:sz w:val="24"/>
            <w:szCs w:val="28"/>
          </w:rPr>
          <w:t>https://survey.its.uq.edu.au/Checkbox/Peer-Observation-Participation.survey</w:t>
        </w:r>
      </w:hyperlink>
      <w:r>
        <w:rPr>
          <w:rFonts w:ascii="Calibri" w:hAnsi="Calibri" w:cs="Calibri"/>
          <w:bCs/>
          <w:color w:val="5B9BD5" w:themeColor="accent1"/>
          <w:sz w:val="24"/>
          <w:szCs w:val="28"/>
        </w:rPr>
        <w:t xml:space="preserve"> </w:t>
      </w:r>
    </w:p>
    <w:p w14:paraId="18BD6666" w14:textId="77777777" w:rsidR="00FB3F95" w:rsidRDefault="00FB3F9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485" w:type="dxa"/>
        <w:tblBorders>
          <w:top w:val="nil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621"/>
        <w:gridCol w:w="2621"/>
        <w:gridCol w:w="2621"/>
      </w:tblGrid>
      <w:tr w:rsidR="00B851FE" w14:paraId="62E8D8D7" w14:textId="77777777">
        <w:tc>
          <w:tcPr>
            <w:tcW w:w="2622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0E078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OBSERVATION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43DA40" w14:textId="77777777" w:rsidR="00B851FE" w:rsidRDefault="00B8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18AE08" w14:textId="77777777" w:rsidR="00B851FE" w:rsidRDefault="00B8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61D92838" w14:textId="77777777" w:rsidR="00B851FE" w:rsidRDefault="00B8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B851FE" w14:paraId="6ECF0638" w14:textId="77777777">
        <w:tblPrEx>
          <w:tblBorders>
            <w:top w:val="none" w:sz="0" w:space="0" w:color="auto"/>
          </w:tblBorders>
        </w:tblPrEx>
        <w:tc>
          <w:tcPr>
            <w:tcW w:w="2622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D38A8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76D98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84D50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/ Time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FEC7EF3" w14:textId="77777777" w:rsidR="00B851FE" w:rsidRDefault="00B851FE" w:rsidP="00DD1BD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</w:tr>
      <w:tr w:rsidR="00B851FE" w14:paraId="4EB323CA" w14:textId="77777777">
        <w:tblPrEx>
          <w:tblBorders>
            <w:top w:val="none" w:sz="0" w:space="0" w:color="auto"/>
          </w:tblBorders>
        </w:tblPrEx>
        <w:tc>
          <w:tcPr>
            <w:tcW w:w="2622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2E794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F0224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5F536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0EB7F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</w:tr>
      <w:tr w:rsidR="00B851FE" w14:paraId="7A6E22B9" w14:textId="77777777">
        <w:tblPrEx>
          <w:tblBorders>
            <w:top w:val="none" w:sz="0" w:space="0" w:color="auto"/>
          </w:tblBorders>
        </w:tblPrEx>
        <w:tc>
          <w:tcPr>
            <w:tcW w:w="2622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70DFA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Activity type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414A1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C3F2D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486C4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</w:tr>
      <w:tr w:rsidR="00B851FE" w14:paraId="2E10D44D" w14:textId="77777777">
        <w:tc>
          <w:tcPr>
            <w:tcW w:w="2622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3711F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Observer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B9D74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84737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Class size</w:t>
            </w:r>
          </w:p>
        </w:tc>
        <w:tc>
          <w:tcPr>
            <w:tcW w:w="26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4E90A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4"/>
                <w:szCs w:val="24"/>
              </w:rPr>
            </w:pPr>
          </w:p>
        </w:tc>
      </w:tr>
    </w:tbl>
    <w:p w14:paraId="56AD6231" w14:textId="77777777" w:rsidR="00B851FE" w:rsidRDefault="00785BC4">
      <w:pPr>
        <w:widowControl w:val="0"/>
        <w:autoSpaceDE w:val="0"/>
        <w:autoSpaceDN w:val="0"/>
        <w:adjustRightInd w:val="0"/>
        <w:spacing w:before="60" w:after="60"/>
        <w:ind w:right="-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Session Objectives for peer observation</w:t>
      </w:r>
    </w:p>
    <w:p w14:paraId="549CD1EF" w14:textId="77777777" w:rsidR="00B851FE" w:rsidRDefault="00B851FE">
      <w:pPr>
        <w:widowControl w:val="0"/>
        <w:autoSpaceDE w:val="0"/>
        <w:autoSpaceDN w:val="0"/>
        <w:adjustRightInd w:val="0"/>
        <w:spacing w:before="60" w:after="60"/>
        <w:ind w:right="-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2E9964" w14:textId="77777777" w:rsidR="00B851FE" w:rsidRDefault="00785BC4">
      <w:pPr>
        <w:widowControl w:val="0"/>
        <w:autoSpaceDE w:val="0"/>
        <w:autoSpaceDN w:val="0"/>
        <w:adjustRightInd w:val="0"/>
        <w:spacing w:before="60" w:after="60"/>
        <w:ind w:right="-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Observation focus</w:t>
      </w:r>
    </w:p>
    <w:p w14:paraId="59BF4374" w14:textId="77777777" w:rsidR="001B4E52" w:rsidRPr="001B4E52" w:rsidRDefault="001B4E52">
      <w:pPr>
        <w:widowControl w:val="0"/>
        <w:autoSpaceDE w:val="0"/>
        <w:autoSpaceDN w:val="0"/>
        <w:adjustRightInd w:val="0"/>
        <w:spacing w:before="60" w:after="60"/>
        <w:ind w:right="-6"/>
        <w:jc w:val="both"/>
        <w:rPr>
          <w:rFonts w:ascii="Calibri" w:hAnsi="Calibri" w:cs="Calibri"/>
          <w:bCs/>
          <w:color w:val="0070C0"/>
          <w:sz w:val="24"/>
          <w:szCs w:val="24"/>
        </w:rPr>
      </w:pPr>
    </w:p>
    <w:p w14:paraId="198BA6D7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Organisation &amp; Structure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64C93B66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1D8C369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2716DFF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339B383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7942DCB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89D9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23BB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General</w:t>
            </w:r>
          </w:p>
        </w:tc>
        <w:tc>
          <w:tcPr>
            <w:tcW w:w="490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78B19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3CAD9A16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19CB3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5F77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Session is clearly structured and logical (includes Introduction-Body-Closure)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444F9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851FE" w14:paraId="7C73C5F7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D161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5FB0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Session is organised and well prepared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BC00B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AD20BF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E870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lastRenderedPageBreak/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DBEA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Session begins and ends on time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56DFB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5F908DB6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1209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EB833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Resources and materials are well prepared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14B5D5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05268B5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95715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AEA3E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Introduction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26D2EEF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EF0316C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B797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30B32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Students’ attention and interest is captured with an engaging introduction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3056045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851FE" w14:paraId="67F3309C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A4FD9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0449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objectives for the session are explicitly stated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6A7364E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851FE" w14:paraId="1076F49F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9CB51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B830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Body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3E776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589B89F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341B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CEE0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Session is appropriately paced with breaks as required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549FF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403EF115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C893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8306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and transitions are well-timed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55FFB1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071E9B2A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38CE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1E87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for student questions and/or feedback is allocated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B0EA6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43A26D6B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3510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8714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Closure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DE94A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0AFA693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E38C6C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C7BE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B666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Closure is well timed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D44A71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851FE" w14:paraId="5CDED44E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E0E7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DCD1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Summary of main ideas is provided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5E1A76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6735F74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3AAA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674E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Expectations for next session are established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2E95D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C5C0070" w14:textId="77777777" w:rsidR="00B851FE" w:rsidRDefault="00B851FE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0899185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Learning Activities &amp; Content 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5CD75726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08A0641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0C2BEEB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4" w:space="0" w:color="A6A6A6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0C70C236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354B1F4C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373C3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7E0E345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is knowledgeable</w:t>
            </w:r>
          </w:p>
        </w:tc>
        <w:tc>
          <w:tcPr>
            <w:tcW w:w="49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00" w:type="nil"/>
              <w:right w:w="100" w:type="nil"/>
            </w:tcMar>
          </w:tcPr>
          <w:p w14:paraId="01FBD5F1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1597A1A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C688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7743ADB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 are purposeful and clearly connected to the session objectives</w:t>
            </w:r>
          </w:p>
        </w:tc>
        <w:tc>
          <w:tcPr>
            <w:tcW w:w="49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00" w:type="nil"/>
              <w:right w:w="100" w:type="nil"/>
            </w:tcMar>
          </w:tcPr>
          <w:p w14:paraId="7A6BD357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7B11505B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2211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395B845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 and content are logically sequenced to maximise student learning opportunities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1889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89F624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4B4E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00DD203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Connections to previous and upcoming course materials and assessment (if appropriate) are made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ABCF2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06E1A63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97B2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6647818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is devoted to active learning (including practice)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2095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56BA741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72D7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7799195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 target the interests and needs of students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DB4B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D9F427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3BB1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0C2D586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activities, content and examples are relevant, connected and authentic (e.g. uses real world examples)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5CC6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137A0027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6A2A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lastRenderedPageBreak/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0C5ADA9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‘Teachable moments’ are utilised to promote engaged learning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80278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5C74210C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486E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0D98F2C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 are appropriately challenging for students</w:t>
            </w:r>
          </w:p>
        </w:tc>
        <w:tc>
          <w:tcPr>
            <w:tcW w:w="49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00" w:type="nil"/>
              <w:right w:w="100" w:type="nil"/>
            </w:tcMar>
          </w:tcPr>
          <w:p w14:paraId="3FA5F35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41EEDEA8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4B32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10F9F1A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activities are undertaken in a safe and supportive learning environment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871B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323F711E" w14:textId="77777777">
        <w:tblPrEx>
          <w:tblBorders>
            <w:top w:val="nil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0ABD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6A6A6"/>
            </w:tcBorders>
            <w:tcMar>
              <w:top w:w="100" w:type="nil"/>
              <w:right w:w="100" w:type="nil"/>
            </w:tcMar>
            <w:vAlign w:val="center"/>
          </w:tcPr>
          <w:p w14:paraId="5D2C7A7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Key ideas are explored reinforced and summarised throughout the session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4207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46E36297" w14:textId="77777777" w:rsidR="00B851FE" w:rsidRDefault="00B85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C4A1AC4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Questioning &amp; Feedback for Learning 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3F46F6E8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61F197D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0C5BB7C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35A6138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2F5EADFF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B013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EA7A2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Questioning for learning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C84C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E7E5BB8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5D21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9E75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Questions are planned, integrated, scaffolded and sequenced throughout the session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CE1C7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62E4AFC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1862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5283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Questions are challenging to stimulate students’ learning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74A4D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27525C9C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795A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4B18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Questions are adapted where necessary to maximise student learning opportunities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C93E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286E92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B78AC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4311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Questions are distributed around the class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ECF53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9AD71EB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AAE1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69CE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‘Thinking time’ is provided for students</w:t>
            </w:r>
          </w:p>
        </w:tc>
        <w:tc>
          <w:tcPr>
            <w:tcW w:w="490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1E18E2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2CD263D6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812D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6E2F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knowledgeably responds to students’ questions and answers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6D43E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004EA587" w14:textId="77777777" w:rsidTr="00504B28">
        <w:tblPrEx>
          <w:tblBorders>
            <w:top w:val="none" w:sz="0" w:space="0" w:color="auto"/>
          </w:tblBorders>
        </w:tblPrEx>
        <w:trPr>
          <w:trHeight w:val="60"/>
        </w:trPr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4CD2B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BDB39" w14:textId="77777777" w:rsidR="00C17EE8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Questions are used to gather information about student learning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55C40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10D7721A" w14:textId="77777777" w:rsidTr="00C17EE8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30E31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5BCC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Feedback for learning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A82671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160F28AA" w14:textId="77777777" w:rsidTr="00C17EE8">
        <w:tblPrEx>
          <w:tblBorders>
            <w:top w:val="none" w:sz="0" w:space="0" w:color="auto"/>
          </w:tblBorders>
        </w:tblPrEx>
        <w:trPr>
          <w:trHeight w:val="60"/>
        </w:trPr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411A0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F419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Feedback is detailed and well-structured to maximise student learning opportunities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37A7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44084B28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97C30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178A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Feedback is constructive and positive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F40D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2134B08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38147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54E3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 for actively gathering feedback within session is planned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46E7BB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5DFF11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5CCD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12A9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Feedback is provided in whole-class, group and individual situations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C3A9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4D8F709D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006F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74FBA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Verbal and non-verbal feedback is provided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A55E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E0191F" w14:textId="77777777" w:rsidR="00B851FE" w:rsidRDefault="00B851FE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A3064D2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Learning Technologies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576693D4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6D98ACB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1527064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1528C05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2A69F429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212E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B9DB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technologies are incorporated into learning activities</w:t>
            </w:r>
          </w:p>
        </w:tc>
        <w:tc>
          <w:tcPr>
            <w:tcW w:w="490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3ECDC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7D50C5F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895B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3AE7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technologies are used in a well-planned, efficient and effective manner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E92583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851FE" w14:paraId="393C6C19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C86BF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E3336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technologies are connected to class materials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C37F19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B851FE" w14:paraId="35E2D7A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BDC1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0826F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Learning technologies stimulate students’ interest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CABA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1F7E5163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8DAC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6E7A8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Digital texts are free from </w:t>
            </w:r>
            <w:r w:rsidR="00DD5EEE">
              <w:rPr>
                <w:rFonts w:ascii="Calibri" w:hAnsi="Calibri" w:cs="Calibri"/>
                <w:sz w:val="20"/>
                <w:szCs w:val="20"/>
              </w:rPr>
              <w:t>grammatical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spelling errors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5EA21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21DDDBFF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4F97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2198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Visual technologies can be easily seen / read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FB043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445702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4D7EA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0D5A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Audio technologies can be easily heard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10A98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D1BAD" w14:textId="77777777" w:rsidR="00B851FE" w:rsidRDefault="00B851FE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14BB7EE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Communication, Rapport and Interactions 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2B63CB05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40DBF782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51B30C1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5CE3D4B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06D6F0E1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0393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EAD06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General</w:t>
            </w:r>
          </w:p>
        </w:tc>
        <w:tc>
          <w:tcPr>
            <w:tcW w:w="490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3F5076B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0CE6A1B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1F8222F1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3A3D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0EFC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Delivery is confident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6ACB978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745FFA8D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330D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6B320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Delivery conveys passion for subject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2C3D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486F7E0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BDF3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4E514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Classroom atmosphere is conducive to learning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057D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2D66274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01043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CA38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Interactions are mutually respectful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AF717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1AD5E7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D237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7265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Expectations are established and modelled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3896865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5E6C24A3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D323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D9E3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Verbal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28BC649A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2866A042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C65FFF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DB139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Explanations, questions and instructions are clear 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6364ADA6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58598C7A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ECD7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DC8C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Voice is appropriate in volume and tone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CCD6D0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2D129D51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F16E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DD1E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Pace of the lesson is adjusted to accommodate student needs and maintain interest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F9DFF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612E966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9ECF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39C16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 used is appropriate to students’ needs, abilities and experience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1337DD3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569F5CF9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C6D7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15B9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Non-Verbal</w:t>
            </w:r>
          </w:p>
        </w:tc>
        <w:tc>
          <w:tcPr>
            <w:tcW w:w="4906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F330AE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505EA9F1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EAD86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3CB31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Body language is confident including good eye contact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66E4A7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2EF5BCE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75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A632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9EE5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Manner is positive and friendly </w:t>
            </w:r>
          </w:p>
        </w:tc>
        <w:tc>
          <w:tcPr>
            <w:tcW w:w="4906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32A258C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A1AFB3" w14:textId="77777777" w:rsidR="00B851FE" w:rsidRDefault="00B851FE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alibri" w:hAnsi="Calibri" w:cs="Calibri"/>
          <w:sz w:val="20"/>
          <w:szCs w:val="20"/>
        </w:rPr>
      </w:pPr>
    </w:p>
    <w:p w14:paraId="0CDE32E8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Small Group Teaching </w:t>
      </w:r>
    </w:p>
    <w:tbl>
      <w:tblPr>
        <w:tblW w:w="104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6"/>
        <w:gridCol w:w="4906"/>
      </w:tblGrid>
      <w:tr w:rsidR="00B851FE" w14:paraId="4D873A2E" w14:textId="77777777"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14:paraId="4353AFB2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7C88091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14:paraId="09D1B7D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851FE" w14:paraId="31BBCB63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FC69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023418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safe and ethical learning environment is established and maintained including appropriate use of equipment</w:t>
            </w:r>
          </w:p>
        </w:tc>
        <w:tc>
          <w:tcPr>
            <w:tcW w:w="490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5611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BB2F534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668B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9CD0F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range of teaching methods are used to actively include all students in the learning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A2179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10E5FF68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7581FD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08A64C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Key concepts are explored and reinforced throughout the session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06DE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356C8968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83F83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D75CF4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Critical thinking is promoted through questioning and learning activities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5F534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4817D809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0397E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0A6106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 (including literature and research) is used to support discussion and decision making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9239B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851FE" w14:paraId="0A4E2631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7AC3B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2740E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Personalised learning is evident (teacher knows the students’ knowledge levels and learning needs)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1C63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710CDC6B" w14:textId="7777777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BE31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E3D987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are encouraged and supported to share information/experiences, ask questions and make connections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CC05F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1FE" w14:paraId="057812F5" w14:textId="77777777">
        <w:tblPrEx>
          <w:tblBorders>
            <w:top w:val="nil"/>
          </w:tblBorders>
        </w:tblPrEx>
        <w:tc>
          <w:tcPr>
            <w:tcW w:w="67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0E1E5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inionPro-SemiboldIt" w:hAnsi="MinionPro-SemiboldIt" w:cs="MinionPro-SemiboldIt"/>
                <w:b/>
                <w:bCs/>
                <w:i/>
                <w:iCs/>
                <w:sz w:val="32"/>
                <w:szCs w:val="32"/>
              </w:rPr>
              <w:t>☐</w:t>
            </w:r>
          </w:p>
        </w:tc>
        <w:tc>
          <w:tcPr>
            <w:tcW w:w="490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96CCC2" w14:textId="77777777" w:rsidR="00B851FE" w:rsidRDefault="00785B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are encouraged to pursue and critically appraise the literature</w:t>
            </w:r>
          </w:p>
        </w:tc>
        <w:tc>
          <w:tcPr>
            <w:tcW w:w="490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9FBA8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7BF9F3" w14:textId="77777777" w:rsidR="00B851FE" w:rsidRDefault="00B851FE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</w:p>
    <w:p w14:paraId="3130D1E9" w14:textId="77777777" w:rsidR="00B851FE" w:rsidRDefault="00785BC4">
      <w:pPr>
        <w:widowControl w:val="0"/>
        <w:autoSpaceDE w:val="0"/>
        <w:autoSpaceDN w:val="0"/>
        <w:adjustRightInd w:val="0"/>
        <w:spacing w:before="200" w:after="0" w:line="276" w:lineRule="auto"/>
        <w:ind w:right="-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Additional Comments</w:t>
      </w:r>
    </w:p>
    <w:tbl>
      <w:tblPr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B851FE" w14:paraId="22620A92" w14:textId="77777777">
        <w:tc>
          <w:tcPr>
            <w:tcW w:w="10485" w:type="dxa"/>
            <w:tcBorders>
              <w:top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F19EC1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2864140D" w14:textId="77777777" w:rsidR="00B851FE" w:rsidRDefault="00B851F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6"/>
              <w:jc w:val="both"/>
              <w:rPr>
                <w:rFonts w:ascii="Calibri" w:hAnsi="Calibri" w:cs="Calibri"/>
                <w:i/>
                <w:iCs/>
                <w:color w:val="2E74B5"/>
                <w:sz w:val="20"/>
                <w:szCs w:val="20"/>
              </w:rPr>
            </w:pPr>
          </w:p>
        </w:tc>
      </w:tr>
    </w:tbl>
    <w:p w14:paraId="263C4055" w14:textId="77777777" w:rsidR="00785BC4" w:rsidRDefault="00785BC4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alibri" w:hAnsi="Calibri" w:cs="Calibri"/>
          <w:sz w:val="20"/>
          <w:szCs w:val="20"/>
        </w:rPr>
      </w:pPr>
    </w:p>
    <w:sectPr w:rsidR="00785BC4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SemiboldIt">
    <w:altName w:val="Minion Pro SmBd It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3"/>
    <w:rsid w:val="001B4E52"/>
    <w:rsid w:val="004E4408"/>
    <w:rsid w:val="00504B28"/>
    <w:rsid w:val="005853DE"/>
    <w:rsid w:val="00785BC4"/>
    <w:rsid w:val="00855D0E"/>
    <w:rsid w:val="00925E46"/>
    <w:rsid w:val="00B851FE"/>
    <w:rsid w:val="00C17EE8"/>
    <w:rsid w:val="00DD1BD3"/>
    <w:rsid w:val="00DD5EEE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FE30"/>
  <w14:defaultImageDpi w14:val="0"/>
  <w15:docId w15:val="{4DBF8495-2CA3-41F9-903F-273E0C5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.its.uq.edu.au/Checkbox/Peer-Observation-Participation.survey" TargetMode="External"/><Relationship Id="rId4" Type="http://schemas.openxmlformats.org/officeDocument/2006/relationships/hyperlink" Target="http://www.uq.edu.au/teach/peer-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Monsen</dc:creator>
  <cp:keywords/>
  <dc:description/>
  <cp:lastModifiedBy>Rachel Morgenbesser</cp:lastModifiedBy>
  <cp:revision>2</cp:revision>
  <dcterms:created xsi:type="dcterms:W3CDTF">2018-07-31T04:16:00Z</dcterms:created>
  <dcterms:modified xsi:type="dcterms:W3CDTF">2018-07-31T04:16:00Z</dcterms:modified>
</cp:coreProperties>
</file>