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1577" w14:textId="6308061F" w:rsidR="00A27702" w:rsidRDefault="00021342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Formative </w:t>
      </w:r>
      <w:r w:rsidR="00A27702" w:rsidRPr="00420E53">
        <w:rPr>
          <w:rFonts w:ascii="Tahoma" w:hAnsi="Tahoma"/>
          <w:sz w:val="36"/>
          <w:szCs w:val="36"/>
        </w:rPr>
        <w:t xml:space="preserve">Peer </w:t>
      </w:r>
      <w:r w:rsidR="000B74C4">
        <w:rPr>
          <w:rFonts w:ascii="Tahoma" w:hAnsi="Tahoma"/>
          <w:sz w:val="36"/>
          <w:szCs w:val="36"/>
        </w:rPr>
        <w:t>Observation</w:t>
      </w:r>
      <w:r w:rsidR="00A27702">
        <w:rPr>
          <w:rFonts w:ascii="Tahoma" w:hAnsi="Tahoma"/>
          <w:sz w:val="36"/>
          <w:szCs w:val="36"/>
        </w:rPr>
        <w:t xml:space="preserve"> Re</w:t>
      </w:r>
      <w:r w:rsidR="00332072">
        <w:rPr>
          <w:rFonts w:ascii="Tahoma" w:hAnsi="Tahoma"/>
          <w:sz w:val="36"/>
          <w:szCs w:val="36"/>
        </w:rPr>
        <w:t>cord</w:t>
      </w:r>
      <w:r w:rsidR="00A3018D">
        <w:rPr>
          <w:rFonts w:ascii="Tahoma" w:hAnsi="Tahoma"/>
          <w:sz w:val="36"/>
          <w:szCs w:val="36"/>
        </w:rPr>
        <w:t xml:space="preserve">: </w:t>
      </w:r>
      <w:r w:rsidR="00C83DE2">
        <w:rPr>
          <w:rFonts w:ascii="Tahoma" w:hAnsi="Tahoma"/>
          <w:sz w:val="36"/>
          <w:szCs w:val="36"/>
        </w:rPr>
        <w:t>Online Teaching</w:t>
      </w:r>
    </w:p>
    <w:p w14:paraId="31435C82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0040BEBF" w14:textId="6B18C5B7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C83DE2">
        <w:rPr>
          <w:b/>
          <w:lang w:val="en-GB"/>
        </w:rPr>
        <w:t>whose</w:t>
      </w:r>
      <w:r w:rsidR="00646671">
        <w:rPr>
          <w:b/>
          <w:lang w:val="en-GB"/>
        </w:rPr>
        <w:t xml:space="preserve"> teaching is being </w:t>
      </w:r>
      <w:r>
        <w:rPr>
          <w:b/>
          <w:lang w:val="en-GB"/>
        </w:rPr>
        <w:t>evaluated:</w:t>
      </w:r>
      <w:r w:rsidR="00405316">
        <w:rPr>
          <w:b/>
          <w:lang w:val="en-GB"/>
        </w:rPr>
        <w:t xml:space="preserve"> </w:t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</w:r>
      <w:r w:rsidR="007C5049">
        <w:rPr>
          <w:b/>
          <w:lang w:val="en-GB"/>
        </w:rPr>
        <w:tab/>
        <w:t>Activity:</w:t>
      </w:r>
      <w:bookmarkStart w:id="0" w:name="_GoBack"/>
      <w:bookmarkEnd w:id="0"/>
    </w:p>
    <w:p w14:paraId="4EE25EDB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5D5DDD9C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750BA108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Look w:val="04A0" w:firstRow="1" w:lastRow="0" w:firstColumn="1" w:lastColumn="0" w:noHBand="0" w:noVBand="1"/>
      </w:tblPr>
      <w:tblGrid>
        <w:gridCol w:w="3487"/>
        <w:gridCol w:w="5231"/>
        <w:gridCol w:w="5231"/>
      </w:tblGrid>
      <w:tr w:rsidR="00646671" w14:paraId="7E0FD907" w14:textId="77777777" w:rsidTr="00011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974E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7EA7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1950D" w14:textId="77777777" w:rsidR="00646671" w:rsidRDefault="00C2456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55C3AE28" w14:textId="77777777" w:rsidTr="0001138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5E26B" w14:textId="77777777" w:rsidR="00646671" w:rsidRDefault="000A41E7" w:rsidP="003653ED">
            <w:r>
              <w:t>Is the course well-</w:t>
            </w:r>
            <w:r w:rsidR="00015E20">
              <w:t>designed and easy to navigate?</w:t>
            </w:r>
            <w:r w:rsidR="00015E20" w:rsidRPr="0001138D">
              <w:t xml:space="preserve"> </w:t>
            </w:r>
            <w:r w:rsidR="00015E20" w:rsidRPr="0001138D">
              <w:rPr>
                <w:vertAlign w:val="superscript"/>
              </w:rPr>
              <w:t>i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0CE6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787DB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1A22B762" w14:textId="77777777" w:rsidTr="0001138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D06F4" w14:textId="77777777" w:rsidR="00646671" w:rsidRDefault="0001138D" w:rsidP="00C14092">
            <w:r>
              <w:t xml:space="preserve">How does the instructor foster a supportive and engaging learning environment? </w:t>
            </w:r>
            <w:r w:rsidRPr="00263EB5">
              <w:rPr>
                <w:vertAlign w:val="superscript"/>
              </w:rPr>
              <w:t>iii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90FC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7054A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4B91CCD0" w14:textId="77777777" w:rsidTr="0001138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1F9BA" w14:textId="77777777" w:rsidR="00646671" w:rsidRDefault="0001138D" w:rsidP="00263EB5">
            <w:r>
              <w:t>How is student communication and collaboration facilitated</w:t>
            </w:r>
            <w:r w:rsidRPr="00263EB5">
              <w:rPr>
                <w:vertAlign w:val="superscript"/>
              </w:rPr>
              <w:t>? iii, iv, v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273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B503C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EB5" w14:paraId="4F97D1AC" w14:textId="77777777" w:rsidTr="0001138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B1830" w14:textId="77777777" w:rsidR="00263EB5" w:rsidRDefault="0001138D" w:rsidP="00263EB5">
            <w:r>
              <w:t>Other criteria: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AE00" w14:textId="77777777" w:rsidR="00263EB5" w:rsidRDefault="00263EB5" w:rsidP="0026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EF132" w14:textId="77777777" w:rsidR="00263EB5" w:rsidRDefault="00263EB5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EB5" w14:paraId="35F15FDE" w14:textId="77777777" w:rsidTr="0001138D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A68" w14:textId="77777777" w:rsidR="00263EB5" w:rsidRDefault="0001138D" w:rsidP="00D21BB0">
            <w:r>
              <w:t>Other observations / notes:</w:t>
            </w:r>
          </w:p>
        </w:tc>
      </w:tr>
      <w:tr w:rsidR="00263EB5" w14:paraId="43009E50" w14:textId="77777777" w:rsidTr="0001138D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84F" w14:textId="77777777" w:rsidR="00263EB5" w:rsidRDefault="00263EB5" w:rsidP="00646671">
            <w:r>
              <w:lastRenderedPageBreak/>
              <w:t>W</w:t>
            </w:r>
            <w:r w:rsidRPr="00646671">
              <w:t xml:space="preserve">hat </w:t>
            </w:r>
            <w:r>
              <w:t>might the person being evaluated</w:t>
            </w:r>
            <w:r w:rsidRPr="00646671">
              <w:t xml:space="preserve"> do now as a result of feedback</w:t>
            </w:r>
            <w:r>
              <w:t>?</w:t>
            </w:r>
          </w:p>
        </w:tc>
      </w:tr>
    </w:tbl>
    <w:p w14:paraId="09C64513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16548D7F" w14:textId="77777777" w:rsidR="003653ED" w:rsidRPr="0011750B" w:rsidRDefault="003653ED" w:rsidP="003653ED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>
        <w:rPr>
          <w:rFonts w:cs="Arial"/>
          <w:szCs w:val="20"/>
        </w:rPr>
        <w:t xml:space="preserve"> These are </w:t>
      </w:r>
      <w:r>
        <w:rPr>
          <w:rFonts w:cs="Arial"/>
          <w:bCs/>
          <w:szCs w:val="20"/>
        </w:rPr>
        <w:t>i</w:t>
      </w:r>
      <w:r w:rsidRPr="002E12B5">
        <w:rPr>
          <w:rFonts w:cs="Arial"/>
          <w:bCs/>
          <w:szCs w:val="20"/>
        </w:rPr>
        <w:t>ndicative teaching st</w:t>
      </w:r>
      <w:r>
        <w:rPr>
          <w:rFonts w:cs="Arial"/>
          <w:bCs/>
          <w:szCs w:val="20"/>
        </w:rPr>
        <w:t>rategies for demonstrating the criteria.</w:t>
      </w:r>
    </w:p>
    <w:p w14:paraId="44C4FF54" w14:textId="77777777" w:rsidR="005D6FF1" w:rsidRDefault="00263EB5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i</w:t>
      </w:r>
      <w:r>
        <w:rPr>
          <w:rFonts w:cs="Arial"/>
          <w:b/>
          <w:szCs w:val="20"/>
        </w:rPr>
        <w:tab/>
      </w:r>
      <w:r w:rsidR="005D6FF1" w:rsidRPr="005D6FF1">
        <w:rPr>
          <w:rFonts w:cs="Arial"/>
          <w:b/>
          <w:szCs w:val="20"/>
        </w:rPr>
        <w:t>Online organisation and design</w:t>
      </w:r>
    </w:p>
    <w:p w14:paraId="54840A36" w14:textId="77777777" w:rsidR="001411EA" w:rsidRDefault="001411EA" w:rsidP="001411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course is well-designed; easy to navigate; students and instructors can clearly understand the overall structure and its parts</w:t>
      </w:r>
    </w:p>
    <w:p w14:paraId="6888AB82" w14:textId="77777777" w:rsidR="001411EA" w:rsidRDefault="001411EA" w:rsidP="001411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the role of the online environment (and its place within the course if appropriate) is clearly explained</w:t>
      </w:r>
    </w:p>
    <w:p w14:paraId="5E2877A9" w14:textId="77777777" w:rsidR="001411EA" w:rsidRDefault="001411EA" w:rsidP="001411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 xml:space="preserve">aesthetic design allows information to be clearly communicated; </w:t>
      </w:r>
      <w:r w:rsidR="0010217F">
        <w:rPr>
          <w:rFonts w:cs="Arial"/>
          <w:szCs w:val="20"/>
        </w:rPr>
        <w:t xml:space="preserve">web </w:t>
      </w:r>
      <w:r>
        <w:rPr>
          <w:rFonts w:cs="Arial"/>
          <w:szCs w:val="20"/>
        </w:rPr>
        <w:t>pages and resources are visually and functionally consistent throughout course</w:t>
      </w:r>
    </w:p>
    <w:p w14:paraId="51837BA4" w14:textId="77777777" w:rsidR="0010217F" w:rsidRDefault="0010217F" w:rsidP="001411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 w:rsidRPr="0010217F">
        <w:rPr>
          <w:rFonts w:cs="Arial"/>
          <w:szCs w:val="20"/>
        </w:rPr>
        <w:t>provides visual, textual, kinaesthetic and/or auditory activities and resources to enhance accessibility</w:t>
      </w:r>
      <w:r>
        <w:rPr>
          <w:rFonts w:cs="Arial"/>
          <w:szCs w:val="20"/>
        </w:rPr>
        <w:t xml:space="preserve"> (e.g. hearing, ESL, cognition, sight, mobility etc)</w:t>
      </w:r>
    </w:p>
    <w:p w14:paraId="3C2B15F9" w14:textId="77777777" w:rsidR="0010217F" w:rsidRPr="001411EA" w:rsidRDefault="0010217F" w:rsidP="001411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use of a wide variety of technological tools to facilitate communication and learning</w:t>
      </w:r>
    </w:p>
    <w:p w14:paraId="5BF6D1AA" w14:textId="77777777" w:rsidR="001411EA" w:rsidRPr="001411EA" w:rsidRDefault="00263EB5" w:rsidP="00263EB5">
      <w:pPr>
        <w:widowControl w:val="0"/>
        <w:autoSpaceDE w:val="0"/>
        <w:autoSpaceDN w:val="0"/>
        <w:adjustRightInd w:val="0"/>
        <w:spacing w:line="261" w:lineRule="exact"/>
        <w:ind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ii</w:t>
      </w:r>
      <w:r>
        <w:rPr>
          <w:rFonts w:cs="Arial"/>
          <w:b/>
          <w:szCs w:val="20"/>
        </w:rPr>
        <w:tab/>
      </w:r>
      <w:r w:rsidR="001411EA">
        <w:rPr>
          <w:rFonts w:cs="Arial"/>
          <w:b/>
          <w:szCs w:val="20"/>
        </w:rPr>
        <w:t xml:space="preserve">Instructional </w:t>
      </w:r>
      <w:r w:rsidR="001411EA" w:rsidRPr="001411EA">
        <w:rPr>
          <w:rFonts w:cs="Arial"/>
          <w:b/>
          <w:szCs w:val="20"/>
        </w:rPr>
        <w:t>design</w:t>
      </w:r>
      <w:r w:rsidR="001411EA">
        <w:rPr>
          <w:rFonts w:cs="Arial"/>
          <w:b/>
          <w:szCs w:val="20"/>
        </w:rPr>
        <w:t xml:space="preserve"> and delivery</w:t>
      </w:r>
    </w:p>
    <w:p w14:paraId="26D6494A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5D6FF1">
        <w:rPr>
          <w:rFonts w:cs="Arial"/>
          <w:szCs w:val="20"/>
        </w:rPr>
        <w:t>earning objectives are clear</w:t>
      </w:r>
      <w:r>
        <w:rPr>
          <w:rFonts w:cs="Arial"/>
          <w:szCs w:val="20"/>
        </w:rPr>
        <w:t>ly defined</w:t>
      </w:r>
    </w:p>
    <w:p w14:paraId="05C67042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course goals and learning activities are clearly aligned to learning objectives</w:t>
      </w:r>
    </w:p>
    <w:p w14:paraId="28CD3552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content is relevant and informed by research, best or current practice</w:t>
      </w:r>
    </w:p>
    <w:p w14:paraId="63835E1C" w14:textId="77777777" w:rsidR="00421B8C" w:rsidRDefault="00421B8C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there is vertical integration within course (and/or broader degree)</w:t>
      </w:r>
    </w:p>
    <w:p w14:paraId="41BE3169" w14:textId="77777777" w:rsidR="005564D0" w:rsidRPr="008D2C04" w:rsidRDefault="005564D0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 w:rsidRPr="008D2C04">
        <w:rPr>
          <w:rFonts w:cs="Arial"/>
          <w:szCs w:val="20"/>
        </w:rPr>
        <w:t xml:space="preserve">material is presented logically(e.g. including an overview, flow of the course / session, opportunities for review and </w:t>
      </w:r>
      <w:r w:rsidR="008D2C04" w:rsidRPr="008D2C04">
        <w:rPr>
          <w:rFonts w:cs="Arial"/>
          <w:szCs w:val="20"/>
        </w:rPr>
        <w:t>identifying individual</w:t>
      </w:r>
      <w:r w:rsidRPr="008D2C04">
        <w:rPr>
          <w:rFonts w:cs="Arial"/>
          <w:szCs w:val="20"/>
        </w:rPr>
        <w:t xml:space="preserve"> l</w:t>
      </w:r>
      <w:r w:rsidR="008D2C04" w:rsidRPr="008D2C04">
        <w:rPr>
          <w:rFonts w:cs="Arial"/>
          <w:szCs w:val="20"/>
        </w:rPr>
        <w:t>earning needs)</w:t>
      </w:r>
    </w:p>
    <w:p w14:paraId="387A6FCC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 xml:space="preserve">recognises students’ previous knowledge and experience </w:t>
      </w:r>
    </w:p>
    <w:p w14:paraId="4C1FB91B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provides visual, textual, kinaesthetic and/or auditory activities and resources to enhance accessibility and student learning (i.e. allows the student to be an “active” learner)</w:t>
      </w:r>
    </w:p>
    <w:p w14:paraId="780D0C09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provides multiple opportunities for critical thinking and/or problem solving and relating content to a broader context</w:t>
      </w:r>
    </w:p>
    <w:p w14:paraId="27939D32" w14:textId="77777777" w:rsidR="001411EA" w:rsidRDefault="001411EA" w:rsidP="001411E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course offers adequate opportunity for interaction, collaboration, communication and support between students and students as well as students and instructors</w:t>
      </w:r>
    </w:p>
    <w:p w14:paraId="65025E9A" w14:textId="77777777" w:rsidR="001411EA" w:rsidRPr="0010217F" w:rsidRDefault="00263EB5" w:rsidP="001411EA">
      <w:pPr>
        <w:widowControl w:val="0"/>
        <w:autoSpaceDE w:val="0"/>
        <w:autoSpaceDN w:val="0"/>
        <w:adjustRightInd w:val="0"/>
        <w:spacing w:line="261" w:lineRule="exact"/>
        <w:ind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iii</w:t>
      </w:r>
      <w:r>
        <w:rPr>
          <w:rFonts w:cs="Arial"/>
          <w:b/>
          <w:szCs w:val="20"/>
        </w:rPr>
        <w:tab/>
      </w:r>
      <w:r w:rsidR="0010217F" w:rsidRPr="0010217F">
        <w:rPr>
          <w:rFonts w:cs="Arial"/>
          <w:b/>
          <w:szCs w:val="20"/>
        </w:rPr>
        <w:t>Learner resources and support</w:t>
      </w:r>
    </w:p>
    <w:p w14:paraId="26F4392D" w14:textId="77777777" w:rsidR="005564D0" w:rsidRDefault="005564D0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 w:rsidRPr="002E12B5">
        <w:rPr>
          <w:rFonts w:cs="Arial"/>
          <w:szCs w:val="20"/>
        </w:rPr>
        <w:t>fostering a supportive, non-threatening teaching/learning environment</w:t>
      </w:r>
    </w:p>
    <w:p w14:paraId="02423729" w14:textId="2B67482A" w:rsidR="005D6FF1" w:rsidRPr="0010217F" w:rsidRDefault="0010217F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10217F">
        <w:rPr>
          <w:rFonts w:cs="Arial"/>
          <w:szCs w:val="20"/>
        </w:rPr>
        <w:t>ourse contains information for students about online learning</w:t>
      </w:r>
      <w:r>
        <w:rPr>
          <w:rFonts w:cs="Arial"/>
          <w:szCs w:val="20"/>
        </w:rPr>
        <w:t xml:space="preserve"> (including contact information for instructor, department / faculty and programme)</w:t>
      </w:r>
      <w:r w:rsidRPr="00102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and campus resources (</w:t>
      </w:r>
      <w:r w:rsidR="00B80F49">
        <w:rPr>
          <w:rFonts w:cs="Arial"/>
          <w:szCs w:val="20"/>
        </w:rPr>
        <w:t>e.g.</w:t>
      </w:r>
      <w:r>
        <w:rPr>
          <w:rFonts w:cs="Arial"/>
          <w:szCs w:val="20"/>
        </w:rPr>
        <w:t xml:space="preserve"> student learning centre)</w:t>
      </w:r>
    </w:p>
    <w:p w14:paraId="414AE222" w14:textId="77777777" w:rsidR="0010217F" w:rsidRDefault="0010217F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 w:rsidRPr="0010217F">
        <w:rPr>
          <w:rFonts w:cs="Arial"/>
          <w:szCs w:val="20"/>
        </w:rPr>
        <w:t xml:space="preserve">variety of </w:t>
      </w:r>
      <w:r>
        <w:rPr>
          <w:rFonts w:cs="Arial"/>
          <w:szCs w:val="20"/>
        </w:rPr>
        <w:t xml:space="preserve">course-specific, </w:t>
      </w:r>
      <w:r w:rsidRPr="0010217F">
        <w:rPr>
          <w:rFonts w:cs="Arial"/>
          <w:szCs w:val="20"/>
        </w:rPr>
        <w:t>media-rich resources are provided (e.g. videos, textual, simulation</w:t>
      </w:r>
      <w:r>
        <w:rPr>
          <w:rFonts w:cs="Arial"/>
          <w:szCs w:val="20"/>
        </w:rPr>
        <w:t>, animation)</w:t>
      </w:r>
    </w:p>
    <w:p w14:paraId="70D1FBB5" w14:textId="77777777" w:rsidR="0010217F" w:rsidRDefault="0010217F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students are encouraged to use additional tools and resources to further their understanding</w:t>
      </w:r>
    </w:p>
    <w:p w14:paraId="42B238ED" w14:textId="77777777" w:rsidR="0010217F" w:rsidRDefault="0010217F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students are actively encouraged to share learnings and resources</w:t>
      </w:r>
    </w:p>
    <w:p w14:paraId="4A3EC4C6" w14:textId="77777777" w:rsidR="0010217F" w:rsidRDefault="0010217F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course provides a wide range of resources to support course content for students with varying learning abilities</w:t>
      </w:r>
    </w:p>
    <w:p w14:paraId="650FB040" w14:textId="77777777" w:rsidR="00B73C99" w:rsidRDefault="00B73C99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peer support and mentoring is offered</w:t>
      </w:r>
    </w:p>
    <w:p w14:paraId="25E97CAA" w14:textId="77777777" w:rsidR="00B73C99" w:rsidRPr="0010217F" w:rsidRDefault="00B73C99" w:rsidP="001021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lastRenderedPageBreak/>
        <w:t>linkages to industry, community of practice or other external supports are made</w:t>
      </w:r>
    </w:p>
    <w:p w14:paraId="09605170" w14:textId="77777777" w:rsidR="005D6FF1" w:rsidRPr="0010217F" w:rsidRDefault="00263EB5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iv</w:t>
      </w:r>
      <w:r>
        <w:rPr>
          <w:rFonts w:cs="Arial"/>
          <w:b/>
          <w:szCs w:val="20"/>
        </w:rPr>
        <w:tab/>
      </w:r>
      <w:r w:rsidR="0010217F" w:rsidRPr="0010217F">
        <w:rPr>
          <w:rFonts w:cs="Arial"/>
          <w:b/>
          <w:szCs w:val="20"/>
        </w:rPr>
        <w:t>Learning activities</w:t>
      </w:r>
    </w:p>
    <w:p w14:paraId="4F20FAB2" w14:textId="77777777" w:rsidR="0010217F" w:rsidRP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25B54">
        <w:rPr>
          <w:rFonts w:cs="Arial"/>
          <w:szCs w:val="20"/>
        </w:rPr>
        <w:t>tudents have opportunity to develop “graduate” qualities</w:t>
      </w:r>
    </w:p>
    <w:p w14:paraId="3F3E63AB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25B54">
        <w:rPr>
          <w:rFonts w:cs="Arial"/>
          <w:szCs w:val="20"/>
        </w:rPr>
        <w:t>tudents are encouraged to be “active” learners</w:t>
      </w:r>
    </w:p>
    <w:p w14:paraId="57826B44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new teaching methods innovatively enhance student learning and engage the students</w:t>
      </w:r>
    </w:p>
    <w:p w14:paraId="4159E8DE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a variety of learning activities allow for an appropriate level of intellectual challenge (e.g. they have depth, complexity and appropriate duration)</w:t>
      </w:r>
    </w:p>
    <w:p w14:paraId="31476C55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variety of multimedia elements or learning objects are used to accommodate different learning styles</w:t>
      </w:r>
    </w:p>
    <w:p w14:paraId="1C13D0FF" w14:textId="77777777" w:rsidR="00B25B54" w:rsidRDefault="00B25B54" w:rsidP="00B25B5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provides multiple opportunities for critical thinking and/or problem solving and relating content to a broader context</w:t>
      </w:r>
    </w:p>
    <w:p w14:paraId="3F45917E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may include problem-based learning (e.g. simulations)</w:t>
      </w:r>
    </w:p>
    <w:p w14:paraId="6AEB53DB" w14:textId="77777777" w:rsid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allow for self-directed learning</w:t>
      </w:r>
    </w:p>
    <w:p w14:paraId="60FCE487" w14:textId="77777777" w:rsidR="00B25B54" w:rsidRPr="00B25B54" w:rsidRDefault="00B25B54" w:rsidP="00B25B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enhance student collaboration and engagement with each other</w:t>
      </w:r>
    </w:p>
    <w:p w14:paraId="60D80581" w14:textId="77777777" w:rsidR="005D6FF1" w:rsidRPr="00B73C99" w:rsidRDefault="00263EB5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v</w:t>
      </w:r>
      <w:r>
        <w:rPr>
          <w:rFonts w:cs="Arial"/>
          <w:b/>
          <w:szCs w:val="20"/>
        </w:rPr>
        <w:tab/>
      </w:r>
      <w:r w:rsidR="00B73C99" w:rsidRPr="00B73C99">
        <w:rPr>
          <w:rFonts w:cs="Arial"/>
          <w:b/>
          <w:szCs w:val="20"/>
        </w:rPr>
        <w:t>Communication and collaboration</w:t>
      </w:r>
    </w:p>
    <w:p w14:paraId="5A58065F" w14:textId="77777777" w:rsidR="00B73C99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instructions and information is able to be clearly understood by students</w:t>
      </w:r>
    </w:p>
    <w:p w14:paraId="7DF9428D" w14:textId="77777777" w:rsidR="00421B8C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student interest and engagement are encouraged with the course materials and with each other (e.g. discussion, collaborations, presentations etc)</w:t>
      </w:r>
    </w:p>
    <w:p w14:paraId="5E7B0578" w14:textId="77777777" w:rsidR="005564D0" w:rsidRPr="002E12B5" w:rsidRDefault="005564D0" w:rsidP="005564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questioning skills which encourage student engagement </w:t>
      </w:r>
    </w:p>
    <w:p w14:paraId="308DBC50" w14:textId="77777777" w:rsidR="00421B8C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student questions are encourage and responded to in ways that encourage them to think and do further learning</w:t>
      </w:r>
    </w:p>
    <w:p w14:paraId="487E1C3C" w14:textId="77777777" w:rsidR="00421B8C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students are provided the opportunity to feedback to instructors on content, ease of online technology, accessibility of course and teaching</w:t>
      </w:r>
    </w:p>
    <w:p w14:paraId="290DF51A" w14:textId="77777777" w:rsidR="00421B8C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feedback is sought using formal and informal methodologies</w:t>
      </w:r>
    </w:p>
    <w:p w14:paraId="1780AEFB" w14:textId="77777777" w:rsidR="00421B8C" w:rsidRDefault="00421B8C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feedback is used to plan learning activities,  course content and assessment of student learning throughout and after termination of  the course (e.g. feedback is used to improve learning and teaching)</w:t>
      </w:r>
    </w:p>
    <w:p w14:paraId="3EC58011" w14:textId="77777777" w:rsidR="005D6FF1" w:rsidRPr="00B73C99" w:rsidRDefault="00B73C99" w:rsidP="00B73C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peer review is included as part of the learning process</w:t>
      </w:r>
    </w:p>
    <w:p w14:paraId="39CEDE73" w14:textId="77777777" w:rsidR="005D6FF1" w:rsidRDefault="00263EB5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b/>
          <w:szCs w:val="20"/>
        </w:rPr>
      </w:pPr>
      <w:r w:rsidRPr="00263EB5">
        <w:rPr>
          <w:rFonts w:cs="Arial"/>
          <w:b/>
          <w:szCs w:val="20"/>
          <w:vertAlign w:val="superscript"/>
        </w:rPr>
        <w:t>vi</w:t>
      </w:r>
      <w:r>
        <w:rPr>
          <w:rFonts w:cs="Arial"/>
          <w:b/>
          <w:szCs w:val="20"/>
        </w:rPr>
        <w:tab/>
      </w:r>
      <w:r w:rsidR="00421B8C" w:rsidRPr="00421B8C">
        <w:rPr>
          <w:rFonts w:cs="Arial"/>
          <w:b/>
          <w:szCs w:val="20"/>
        </w:rPr>
        <w:t>Assessment</w:t>
      </w:r>
    </w:p>
    <w:p w14:paraId="5038A630" w14:textId="77777777" w:rsidR="00423D18" w:rsidRDefault="00423D18" w:rsidP="00421B8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where appropriate, assessment are in place to determine students’ readiness for course content and delivery</w:t>
      </w:r>
    </w:p>
    <w:p w14:paraId="284C530F" w14:textId="77777777" w:rsidR="00421B8C" w:rsidRDefault="00421B8C" w:rsidP="00421B8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 w:rsidRPr="00421B8C">
        <w:rPr>
          <w:rFonts w:cs="Arial"/>
          <w:szCs w:val="20"/>
        </w:rPr>
        <w:t>students have achieved the course</w:t>
      </w:r>
      <w:r>
        <w:rPr>
          <w:rFonts w:cs="Arial"/>
          <w:szCs w:val="20"/>
        </w:rPr>
        <w:t xml:space="preserve"> goals and </w:t>
      </w:r>
      <w:r w:rsidRPr="00421B8C">
        <w:rPr>
          <w:rFonts w:cs="Arial"/>
          <w:szCs w:val="20"/>
        </w:rPr>
        <w:t>learning</w:t>
      </w:r>
      <w:r>
        <w:rPr>
          <w:rFonts w:cs="Arial"/>
          <w:szCs w:val="20"/>
        </w:rPr>
        <w:t xml:space="preserve"> objectives</w:t>
      </w:r>
    </w:p>
    <w:p w14:paraId="131B3534" w14:textId="77777777" w:rsidR="00421B8C" w:rsidRDefault="00421B8C" w:rsidP="00421B8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assessment activities are timely and appropriate and closely align to learning objectives</w:t>
      </w:r>
    </w:p>
    <w:p w14:paraId="15D4BBB3" w14:textId="77777777" w:rsidR="00423D18" w:rsidRDefault="00423D18" w:rsidP="00421B8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variety of assessment strategies are employed to assess content knowledge, attitudes and skills (e.g. videos, self-assessment, essays, quizzes, blogs, podcasts etc)</w:t>
      </w:r>
    </w:p>
    <w:p w14:paraId="1D317129" w14:textId="77777777" w:rsidR="00423D18" w:rsidRDefault="00423D18" w:rsidP="00421B8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regular feedback about performance is provided throughout the course</w:t>
      </w:r>
    </w:p>
    <w:p w14:paraId="0CCEEF0A" w14:textId="77777777" w:rsidR="00423D18" w:rsidRPr="00B73C99" w:rsidRDefault="00423D18" w:rsidP="00423D1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61" w:lineRule="exact"/>
        <w:ind w:right="40"/>
        <w:rPr>
          <w:rFonts w:cs="Arial"/>
          <w:szCs w:val="20"/>
        </w:rPr>
      </w:pPr>
      <w:r>
        <w:rPr>
          <w:rFonts w:cs="Arial"/>
          <w:szCs w:val="20"/>
        </w:rPr>
        <w:t>peer feedback and self-assessment / reflection opportunities are provided (e.g. scaffolded peer assessment)</w:t>
      </w:r>
    </w:p>
    <w:p w14:paraId="6DF91099" w14:textId="77777777" w:rsidR="00C558C9" w:rsidRDefault="00C558C9">
      <w:pPr>
        <w:rPr>
          <w:rFonts w:cs="Arial"/>
          <w:sz w:val="16"/>
          <w:szCs w:val="16"/>
        </w:rPr>
      </w:pPr>
    </w:p>
    <w:sectPr w:rsidR="00C558C9" w:rsidSect="00756E47">
      <w:footerReference w:type="default" r:id="rId8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1689" w14:textId="77777777" w:rsidR="00401BE8" w:rsidRDefault="00401BE8" w:rsidP="00FB3E06">
      <w:pPr>
        <w:spacing w:before="0"/>
      </w:pPr>
      <w:r>
        <w:separator/>
      </w:r>
    </w:p>
  </w:endnote>
  <w:endnote w:type="continuationSeparator" w:id="0">
    <w:p w14:paraId="17055D2E" w14:textId="77777777" w:rsidR="00401BE8" w:rsidRDefault="00401BE8" w:rsidP="00FB3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A21E" w14:textId="77777777" w:rsidR="00263EB5" w:rsidRPr="001C7645" w:rsidRDefault="00263EB5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>University of Melbourne:, an ALTC-funded project investigating methods of formative peer review, 2007-8.</w:t>
    </w:r>
  </w:p>
  <w:p w14:paraId="4771337D" w14:textId="77777777" w:rsidR="00263EB5" w:rsidRDefault="0026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B17D" w14:textId="77777777" w:rsidR="00401BE8" w:rsidRDefault="00401BE8" w:rsidP="00FB3E06">
      <w:pPr>
        <w:spacing w:before="0"/>
      </w:pPr>
      <w:r>
        <w:separator/>
      </w:r>
    </w:p>
  </w:footnote>
  <w:footnote w:type="continuationSeparator" w:id="0">
    <w:p w14:paraId="66D75136" w14:textId="77777777" w:rsidR="00401BE8" w:rsidRDefault="00401BE8" w:rsidP="00FB3E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B91"/>
    <w:multiLevelType w:val="hybridMultilevel"/>
    <w:tmpl w:val="177A025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0C9139A2"/>
    <w:multiLevelType w:val="hybridMultilevel"/>
    <w:tmpl w:val="557E36A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995490"/>
    <w:multiLevelType w:val="hybridMultilevel"/>
    <w:tmpl w:val="D4CE6BD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FEB3994"/>
    <w:multiLevelType w:val="hybridMultilevel"/>
    <w:tmpl w:val="34D8B31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2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73E4"/>
    <w:multiLevelType w:val="hybridMultilevel"/>
    <w:tmpl w:val="A9F82A5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5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D277853"/>
    <w:multiLevelType w:val="hybridMultilevel"/>
    <w:tmpl w:val="98C6665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18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20"/>
  </w:num>
  <w:num w:numId="14">
    <w:abstractNumId w:val="11"/>
  </w:num>
  <w:num w:numId="15">
    <w:abstractNumId w:val="19"/>
  </w:num>
  <w:num w:numId="16">
    <w:abstractNumId w:val="3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5D"/>
    <w:rsid w:val="0001138D"/>
    <w:rsid w:val="00015E20"/>
    <w:rsid w:val="00021342"/>
    <w:rsid w:val="00053073"/>
    <w:rsid w:val="000A41E7"/>
    <w:rsid w:val="000B74C4"/>
    <w:rsid w:val="000F5C95"/>
    <w:rsid w:val="0010217F"/>
    <w:rsid w:val="00103D95"/>
    <w:rsid w:val="001276B6"/>
    <w:rsid w:val="001411EA"/>
    <w:rsid w:val="0016633C"/>
    <w:rsid w:val="00176504"/>
    <w:rsid w:val="001A07D6"/>
    <w:rsid w:val="001C5541"/>
    <w:rsid w:val="001C7645"/>
    <w:rsid w:val="0020005D"/>
    <w:rsid w:val="0020098A"/>
    <w:rsid w:val="00225C8E"/>
    <w:rsid w:val="00263EB5"/>
    <w:rsid w:val="002738D0"/>
    <w:rsid w:val="00277BFF"/>
    <w:rsid w:val="002801A9"/>
    <w:rsid w:val="002E7CE1"/>
    <w:rsid w:val="00332072"/>
    <w:rsid w:val="00364140"/>
    <w:rsid w:val="003653ED"/>
    <w:rsid w:val="003F213D"/>
    <w:rsid w:val="00401BE8"/>
    <w:rsid w:val="00405316"/>
    <w:rsid w:val="00406722"/>
    <w:rsid w:val="00421B8C"/>
    <w:rsid w:val="00423D18"/>
    <w:rsid w:val="00426616"/>
    <w:rsid w:val="00496F92"/>
    <w:rsid w:val="005170D4"/>
    <w:rsid w:val="00522481"/>
    <w:rsid w:val="0052653D"/>
    <w:rsid w:val="005564D0"/>
    <w:rsid w:val="005A2EEA"/>
    <w:rsid w:val="005B6FBB"/>
    <w:rsid w:val="005C7E27"/>
    <w:rsid w:val="005D6FF1"/>
    <w:rsid w:val="00621A67"/>
    <w:rsid w:val="0063554B"/>
    <w:rsid w:val="00646671"/>
    <w:rsid w:val="006D2B72"/>
    <w:rsid w:val="007257A1"/>
    <w:rsid w:val="0073772E"/>
    <w:rsid w:val="007436E0"/>
    <w:rsid w:val="00756E47"/>
    <w:rsid w:val="007B530C"/>
    <w:rsid w:val="007C5049"/>
    <w:rsid w:val="007D7BB9"/>
    <w:rsid w:val="00801FBB"/>
    <w:rsid w:val="00812431"/>
    <w:rsid w:val="00847D9C"/>
    <w:rsid w:val="008D2C04"/>
    <w:rsid w:val="009A4419"/>
    <w:rsid w:val="009D3100"/>
    <w:rsid w:val="00A05094"/>
    <w:rsid w:val="00A17721"/>
    <w:rsid w:val="00A24C37"/>
    <w:rsid w:val="00A27702"/>
    <w:rsid w:val="00A3018D"/>
    <w:rsid w:val="00A63B99"/>
    <w:rsid w:val="00A8551A"/>
    <w:rsid w:val="00B21723"/>
    <w:rsid w:val="00B25B54"/>
    <w:rsid w:val="00B467EC"/>
    <w:rsid w:val="00B73C99"/>
    <w:rsid w:val="00B80F49"/>
    <w:rsid w:val="00BB4E43"/>
    <w:rsid w:val="00BC7A70"/>
    <w:rsid w:val="00C14092"/>
    <w:rsid w:val="00C14304"/>
    <w:rsid w:val="00C24561"/>
    <w:rsid w:val="00C50076"/>
    <w:rsid w:val="00C5088A"/>
    <w:rsid w:val="00C52000"/>
    <w:rsid w:val="00C558C9"/>
    <w:rsid w:val="00C820D4"/>
    <w:rsid w:val="00C83DE2"/>
    <w:rsid w:val="00C96426"/>
    <w:rsid w:val="00D21BB0"/>
    <w:rsid w:val="00D21E47"/>
    <w:rsid w:val="00D51099"/>
    <w:rsid w:val="00D75605"/>
    <w:rsid w:val="00E83D25"/>
    <w:rsid w:val="00EA418C"/>
    <w:rsid w:val="00F012DE"/>
    <w:rsid w:val="00F022E0"/>
    <w:rsid w:val="00F049CB"/>
    <w:rsid w:val="00F75D67"/>
    <w:rsid w:val="00FB3E06"/>
    <w:rsid w:val="00FC61B1"/>
    <w:rsid w:val="00FD1AA0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D1EB7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24FE09-90DE-7745-87D4-5D9B889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luze0003</dc:creator>
  <cp:lastModifiedBy>Nick Shaw</cp:lastModifiedBy>
  <cp:revision>7</cp:revision>
  <cp:lastPrinted>2012-05-16T06:17:00Z</cp:lastPrinted>
  <dcterms:created xsi:type="dcterms:W3CDTF">2018-08-17T00:08:00Z</dcterms:created>
  <dcterms:modified xsi:type="dcterms:W3CDTF">2018-09-03T23:08:00Z</dcterms:modified>
</cp:coreProperties>
</file>